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05A8A" w14:textId="77777777" w:rsidR="002B1A99" w:rsidRDefault="002B1A99" w:rsidP="009279E2">
      <w:pPr>
        <w:rPr>
          <w:highlight w:val="yellow"/>
        </w:rPr>
      </w:pPr>
    </w:p>
    <w:p w14:paraId="3CCC1EA1" w14:textId="24B04015" w:rsidR="002B1A99" w:rsidRDefault="002B1A99" w:rsidP="009279E2">
      <w:pPr>
        <w:rPr>
          <w:highlight w:val="yellow"/>
        </w:rPr>
      </w:pPr>
    </w:p>
    <w:p w14:paraId="18972AFA" w14:textId="7A5883A2" w:rsidR="00FB2BB4" w:rsidRDefault="00FB2BB4" w:rsidP="009279E2">
      <w:pPr>
        <w:rPr>
          <w:highlight w:val="yellow"/>
        </w:rPr>
      </w:pPr>
    </w:p>
    <w:p w14:paraId="30BED8FF" w14:textId="24978987" w:rsidR="00FB2BB4" w:rsidRDefault="00FB2BB4" w:rsidP="009279E2">
      <w:pPr>
        <w:rPr>
          <w:highlight w:val="yellow"/>
        </w:rPr>
      </w:pPr>
    </w:p>
    <w:p w14:paraId="6483C02E" w14:textId="3806FE53" w:rsidR="00FB2BB4" w:rsidRDefault="00FB2BB4" w:rsidP="009279E2">
      <w:pPr>
        <w:rPr>
          <w:highlight w:val="yellow"/>
        </w:rPr>
      </w:pPr>
    </w:p>
    <w:p w14:paraId="7F577A55" w14:textId="4B7B0219" w:rsidR="00FB2BB4" w:rsidRDefault="00FB2BB4" w:rsidP="009279E2">
      <w:pPr>
        <w:rPr>
          <w:highlight w:val="yellow"/>
        </w:rPr>
      </w:pPr>
    </w:p>
    <w:p w14:paraId="490C5FF5" w14:textId="33E3A818" w:rsidR="0078198C" w:rsidRDefault="0078198C" w:rsidP="009279E2">
      <w:pPr>
        <w:rPr>
          <w:highlight w:val="yellow"/>
        </w:rPr>
      </w:pPr>
    </w:p>
    <w:p w14:paraId="3FB463A2" w14:textId="065F04B3" w:rsidR="00D773A6" w:rsidRDefault="00D773A6" w:rsidP="009279E2">
      <w:pPr>
        <w:rPr>
          <w:highlight w:val="yellow"/>
        </w:rPr>
      </w:pPr>
    </w:p>
    <w:p w14:paraId="064403B9" w14:textId="77777777" w:rsidR="00D773A6" w:rsidRDefault="00D773A6" w:rsidP="009279E2">
      <w:pPr>
        <w:rPr>
          <w:highlight w:val="yellow"/>
        </w:rPr>
      </w:pPr>
    </w:p>
    <w:p w14:paraId="37A9DD26" w14:textId="77777777" w:rsidR="0078198C" w:rsidRDefault="0078198C" w:rsidP="009279E2">
      <w:pPr>
        <w:rPr>
          <w:highlight w:val="yellow"/>
        </w:rPr>
      </w:pPr>
    </w:p>
    <w:p w14:paraId="78D313B0" w14:textId="77777777" w:rsidR="002B1A99" w:rsidRDefault="002B1A99" w:rsidP="009279E2">
      <w:pPr>
        <w:rPr>
          <w:highlight w:val="yellow"/>
        </w:rPr>
      </w:pPr>
    </w:p>
    <w:p w14:paraId="16A1EE2D" w14:textId="7B9406BA" w:rsidR="002026BA" w:rsidRPr="004528EB" w:rsidRDefault="00B1497A" w:rsidP="009279E2">
      <w:r w:rsidRPr="004528EB">
        <w:rPr>
          <w:highlight w:val="yellow"/>
        </w:rPr>
        <w:t>[ORGANIZATION LETTERHEAD]</w:t>
      </w:r>
    </w:p>
    <w:p w14:paraId="4E93C8B4" w14:textId="77777777" w:rsidR="000F7DD2" w:rsidRPr="004528EB" w:rsidRDefault="000F7DD2" w:rsidP="009279E2"/>
    <w:p w14:paraId="11171D54" w14:textId="1B5D9B20" w:rsidR="002026BA" w:rsidRPr="004528EB" w:rsidRDefault="00AD2884" w:rsidP="009279E2">
      <w:r w:rsidRPr="004528EB">
        <w:rPr>
          <w:highlight w:val="yellow"/>
        </w:rPr>
        <w:t>[DATE]</w:t>
      </w:r>
    </w:p>
    <w:p w14:paraId="1D2D2444" w14:textId="77777777" w:rsidR="00345174" w:rsidRPr="004528EB" w:rsidRDefault="00345174" w:rsidP="009279E2"/>
    <w:p w14:paraId="24755FB9" w14:textId="03BB9E23" w:rsidR="00511801" w:rsidRPr="004528EB" w:rsidRDefault="00B1497A" w:rsidP="00B1497A">
      <w:pPr>
        <w:rPr>
          <w:b/>
          <w:u w:val="single"/>
        </w:rPr>
      </w:pPr>
      <w:r w:rsidRPr="004528EB">
        <w:rPr>
          <w:b/>
          <w:u w:val="single"/>
        </w:rPr>
        <w:t>Submitted via Regulations.gov</w:t>
      </w:r>
    </w:p>
    <w:p w14:paraId="00F0B913" w14:textId="77777777" w:rsidR="00DC00D1" w:rsidRPr="004528EB" w:rsidRDefault="00DC00D1" w:rsidP="00B1497A">
      <w:pPr>
        <w:rPr>
          <w:b/>
          <w:u w:val="single"/>
        </w:rPr>
      </w:pPr>
    </w:p>
    <w:p w14:paraId="1FD59F2D" w14:textId="423E97A9" w:rsidR="005B20B9" w:rsidRPr="004528EB" w:rsidRDefault="005B20B9" w:rsidP="00B1497A">
      <w:r w:rsidRPr="004528EB">
        <w:t>Regulations Division</w:t>
      </w:r>
    </w:p>
    <w:p w14:paraId="7F02DCB8" w14:textId="7B2A463D" w:rsidR="00B1497A" w:rsidRPr="004528EB" w:rsidRDefault="00B1497A" w:rsidP="00B1497A">
      <w:r w:rsidRPr="004528EB">
        <w:t>Office of General Counsel</w:t>
      </w:r>
    </w:p>
    <w:p w14:paraId="2BDA7708" w14:textId="77777777" w:rsidR="00B1497A" w:rsidRPr="004528EB" w:rsidRDefault="00B1497A" w:rsidP="00B1497A">
      <w:r w:rsidRPr="004528EB">
        <w:t>Department of Housing and Urban Development</w:t>
      </w:r>
    </w:p>
    <w:p w14:paraId="77152EDE" w14:textId="1E913DED" w:rsidR="00B1497A" w:rsidRPr="004528EB" w:rsidRDefault="00025391" w:rsidP="00B1497A">
      <w:r w:rsidRPr="004528EB">
        <w:t>451 Seventh</w:t>
      </w:r>
      <w:r w:rsidR="00B1497A" w:rsidRPr="004528EB">
        <w:t xml:space="preserve"> Street, S</w:t>
      </w:r>
      <w:r w:rsidR="004630BA" w:rsidRPr="004528EB">
        <w:t>.</w:t>
      </w:r>
      <w:r w:rsidR="00B1497A" w:rsidRPr="004528EB">
        <w:t>W</w:t>
      </w:r>
      <w:r w:rsidR="004630BA" w:rsidRPr="004528EB">
        <w:t>.</w:t>
      </w:r>
    </w:p>
    <w:p w14:paraId="02B3E700" w14:textId="77777777" w:rsidR="00B1497A" w:rsidRPr="004528EB" w:rsidRDefault="00B1497A" w:rsidP="00B1497A">
      <w:r w:rsidRPr="004528EB">
        <w:t>Room 10276</w:t>
      </w:r>
    </w:p>
    <w:p w14:paraId="4AB1914A" w14:textId="5DB3EBAA" w:rsidR="00B1497A" w:rsidRPr="004528EB" w:rsidRDefault="00B1497A" w:rsidP="00B1497A">
      <w:r w:rsidRPr="004528EB">
        <w:t>Washington, D</w:t>
      </w:r>
      <w:r w:rsidR="005A766D" w:rsidRPr="004528EB">
        <w:t>.</w:t>
      </w:r>
      <w:r w:rsidRPr="004528EB">
        <w:t>C</w:t>
      </w:r>
      <w:r w:rsidR="005A766D" w:rsidRPr="004528EB">
        <w:t>.</w:t>
      </w:r>
      <w:r w:rsidRPr="004528EB">
        <w:t xml:space="preserve"> 20410-0</w:t>
      </w:r>
      <w:r w:rsidR="005B20B9" w:rsidRPr="004528EB">
        <w:t>500</w:t>
      </w:r>
    </w:p>
    <w:p w14:paraId="191F96C2" w14:textId="77777777" w:rsidR="00B1497A" w:rsidRPr="004528EB" w:rsidRDefault="00B1497A" w:rsidP="00B1497A"/>
    <w:p w14:paraId="6BE756E8" w14:textId="4F5391C9" w:rsidR="00B1497A" w:rsidRPr="004528EB" w:rsidRDefault="00B1497A" w:rsidP="00511801">
      <w:pPr>
        <w:ind w:left="720"/>
      </w:pPr>
      <w:r w:rsidRPr="004528EB">
        <w:t xml:space="preserve">Re: </w:t>
      </w:r>
      <w:r w:rsidR="00025391" w:rsidRPr="004528EB">
        <w:t>Docket No. FR-6123-</w:t>
      </w:r>
      <w:r w:rsidR="00636DA1" w:rsidRPr="004528EB">
        <w:t>P-02</w:t>
      </w:r>
      <w:r w:rsidR="00025391" w:rsidRPr="004528EB">
        <w:t>: Affirmatively Furthering Fair Housing</w:t>
      </w:r>
      <w:r w:rsidR="00966CA0">
        <w:t xml:space="preserve"> (RIN 2577-AA97)</w:t>
      </w:r>
    </w:p>
    <w:p w14:paraId="24FDF898" w14:textId="77777777" w:rsidR="00B1497A" w:rsidRPr="004528EB" w:rsidRDefault="00B1497A" w:rsidP="00B1497A"/>
    <w:p w14:paraId="3E36B1DD" w14:textId="77777777" w:rsidR="00B1497A" w:rsidRPr="004528EB" w:rsidRDefault="00B1497A" w:rsidP="002026BA">
      <w:r w:rsidRPr="004528EB">
        <w:t>Dear Office of General Counsel:</w:t>
      </w:r>
    </w:p>
    <w:p w14:paraId="53525289" w14:textId="77777777" w:rsidR="00B1497A" w:rsidRPr="004528EB" w:rsidRDefault="00B1497A" w:rsidP="002026BA"/>
    <w:p w14:paraId="7E79510F" w14:textId="53B5321B" w:rsidR="00D97945" w:rsidRPr="004528EB" w:rsidRDefault="00B1497A" w:rsidP="002026BA">
      <w:r w:rsidRPr="004528EB">
        <w:t>This letter is written on behalf of [</w:t>
      </w:r>
      <w:r w:rsidRPr="004528EB">
        <w:rPr>
          <w:highlight w:val="yellow"/>
        </w:rPr>
        <w:t>YOUR ORGANIZATION’S NAME HERE</w:t>
      </w:r>
      <w:r w:rsidRPr="004528EB">
        <w:t>]</w:t>
      </w:r>
      <w:r w:rsidR="00B34A87" w:rsidRPr="004528EB">
        <w:t xml:space="preserve"> in response to HUD’s </w:t>
      </w:r>
      <w:r w:rsidR="00025391" w:rsidRPr="004528EB">
        <w:t xml:space="preserve">Proposed </w:t>
      </w:r>
      <w:r w:rsidR="007E26C6" w:rsidRPr="004528EB">
        <w:t>Rule,</w:t>
      </w:r>
      <w:r w:rsidR="00B34A87" w:rsidRPr="004528EB">
        <w:t xml:space="preserve"> “</w:t>
      </w:r>
      <w:r w:rsidR="00025391" w:rsidRPr="004528EB">
        <w:t>Affirmatively Furthering Fair Housing</w:t>
      </w:r>
      <w:r w:rsidR="00F21F57" w:rsidRPr="004528EB">
        <w:t>,</w:t>
      </w:r>
      <w:r w:rsidR="00D97945" w:rsidRPr="004528EB">
        <w:t>”</w:t>
      </w:r>
      <w:r w:rsidR="00F21F57" w:rsidRPr="004528EB">
        <w:t xml:space="preserve"> dated </w:t>
      </w:r>
      <w:r w:rsidR="0042085C" w:rsidRPr="004528EB">
        <w:t>January 14</w:t>
      </w:r>
      <w:r w:rsidR="00FD0240" w:rsidRPr="004528EB">
        <w:t>, 20</w:t>
      </w:r>
      <w:r w:rsidR="0042085C" w:rsidRPr="004528EB">
        <w:t>20</w:t>
      </w:r>
      <w:r w:rsidR="00FD0240" w:rsidRPr="004528EB">
        <w:t xml:space="preserve">. </w:t>
      </w:r>
      <w:r w:rsidR="00B62F0D" w:rsidRPr="004528EB">
        <w:t xml:space="preserve">Our organization </w:t>
      </w:r>
      <w:r w:rsidR="00B62F0D" w:rsidRPr="004528EB">
        <w:rPr>
          <w:highlight w:val="yellow"/>
        </w:rPr>
        <w:t>[</w:t>
      </w:r>
      <w:r w:rsidR="00343BD4" w:rsidRPr="004528EB">
        <w:rPr>
          <w:highlight w:val="yellow"/>
        </w:rPr>
        <w:t xml:space="preserve">INCLUDE </w:t>
      </w:r>
      <w:r w:rsidR="00882CB0" w:rsidRPr="004528EB">
        <w:rPr>
          <w:highlight w:val="yellow"/>
        </w:rPr>
        <w:t xml:space="preserve">LOCATION or </w:t>
      </w:r>
      <w:r w:rsidR="00D600F3" w:rsidRPr="004528EB">
        <w:rPr>
          <w:highlight w:val="yellow"/>
        </w:rPr>
        <w:t xml:space="preserve">SERVICE AREA AND </w:t>
      </w:r>
      <w:r w:rsidR="00B62F0D" w:rsidRPr="004528EB">
        <w:rPr>
          <w:highlight w:val="yellow"/>
        </w:rPr>
        <w:t>MISSION STATEMENT HERE]</w:t>
      </w:r>
      <w:r w:rsidR="00B62F0D" w:rsidRPr="004528EB">
        <w:t>.</w:t>
      </w:r>
      <w:r w:rsidR="00333A52" w:rsidRPr="004528EB">
        <w:t xml:space="preserve"> </w:t>
      </w:r>
    </w:p>
    <w:p w14:paraId="7F8D5A9E" w14:textId="77777777" w:rsidR="00D97945" w:rsidRPr="004528EB" w:rsidRDefault="00D97945" w:rsidP="002026BA"/>
    <w:p w14:paraId="62CF9F6C" w14:textId="77777777" w:rsidR="00D773A6" w:rsidRPr="004528EB" w:rsidRDefault="00B71D64" w:rsidP="002026BA">
      <w:r w:rsidRPr="004528EB">
        <w:rPr>
          <w:highlight w:val="yellow"/>
        </w:rPr>
        <w:t>[ORGANIZATION NAME]</w:t>
      </w:r>
      <w:r w:rsidR="0042085C" w:rsidRPr="004528EB">
        <w:t xml:space="preserve"> strongly opposes the </w:t>
      </w:r>
      <w:r w:rsidR="002B4DFB" w:rsidRPr="004528EB">
        <w:t xml:space="preserve">adoption of </w:t>
      </w:r>
      <w:r w:rsidR="0042085C" w:rsidRPr="004528EB">
        <w:t>HUD’s Proposed</w:t>
      </w:r>
      <w:r w:rsidR="00AE117B" w:rsidRPr="004528EB">
        <w:t xml:space="preserve"> Affirmatively Furthering Fair Housing (AFFH)</w:t>
      </w:r>
      <w:r w:rsidR="0042085C" w:rsidRPr="004528EB">
        <w:t xml:space="preserve"> Rule</w:t>
      </w:r>
      <w:r w:rsidR="002B4DFB" w:rsidRPr="004528EB">
        <w:t>.</w:t>
      </w:r>
      <w:r w:rsidR="004A01B0" w:rsidRPr="004528EB">
        <w:rPr>
          <w:rStyle w:val="FootnoteReference"/>
        </w:rPr>
        <w:footnoteReference w:id="1"/>
      </w:r>
      <w:r w:rsidR="00444421" w:rsidRPr="004528EB">
        <w:t xml:space="preserve"> </w:t>
      </w:r>
      <w:r w:rsidR="004418C1" w:rsidRPr="004528EB">
        <w:t>In our view, the</w:t>
      </w:r>
      <w:r w:rsidR="00444421" w:rsidRPr="004528EB">
        <w:t xml:space="preserve"> proposed changes to HUD’s 2015 AFFH Rule</w:t>
      </w:r>
      <w:r w:rsidR="00BC57CE" w:rsidRPr="004528EB">
        <w:t xml:space="preserve"> </w:t>
      </w:r>
      <w:r w:rsidR="004418C1" w:rsidRPr="004528EB">
        <w:t>are inconsistent with HUD’s statutory obligation to affirmatively further fair housing</w:t>
      </w:r>
      <w:r w:rsidR="005757F0" w:rsidRPr="004528EB">
        <w:t>.</w:t>
      </w:r>
      <w:r w:rsidR="008A3BFF" w:rsidRPr="004528EB">
        <w:rPr>
          <w:rStyle w:val="FootnoteReference"/>
        </w:rPr>
        <w:footnoteReference w:id="2"/>
      </w:r>
      <w:r w:rsidR="005757F0" w:rsidRPr="004528EB">
        <w:t xml:space="preserve"> </w:t>
      </w:r>
      <w:r w:rsidR="002B1A99" w:rsidRPr="004528EB">
        <w:t>We support the continued implementation of the 2015 AFFH Rule because it creates a fair housing planning framework that emphasizes meaningful community participation, requires HUD review, and provides data and maps to better inform fair housing analysis.</w:t>
      </w:r>
      <w:r w:rsidR="003E633F" w:rsidRPr="004528EB">
        <w:t xml:space="preserve"> </w:t>
      </w:r>
    </w:p>
    <w:p w14:paraId="422AC8A5" w14:textId="77777777" w:rsidR="00D773A6" w:rsidRPr="004528EB" w:rsidRDefault="00D773A6" w:rsidP="002026BA"/>
    <w:p w14:paraId="3A5DCFEE" w14:textId="0A21A0A8" w:rsidR="006F4DFC" w:rsidRPr="004528EB" w:rsidRDefault="00D773A6" w:rsidP="002026BA">
      <w:r w:rsidRPr="004528EB">
        <w:t>In</w:t>
      </w:r>
      <w:r w:rsidR="003E633F" w:rsidRPr="004528EB">
        <w:t xml:space="preserve"> contrast to the 2015 Rule, </w:t>
      </w:r>
      <w:r w:rsidR="005757F0" w:rsidRPr="004528EB">
        <w:t>it is quite clear that the proposed regulation is not actually a fair housing rule, as</w:t>
      </w:r>
      <w:r w:rsidR="00F1465D" w:rsidRPr="004528EB">
        <w:t xml:space="preserve"> core</w:t>
      </w:r>
      <w:r w:rsidR="00E05697" w:rsidRPr="004528EB">
        <w:t xml:space="preserve"> fair housing considerations are only mentioned in passing, if at all.</w:t>
      </w:r>
      <w:r w:rsidR="0014593D" w:rsidRPr="004528EB">
        <w:t xml:space="preserve"> </w:t>
      </w:r>
      <w:r w:rsidR="00F1465D" w:rsidRPr="004528EB">
        <w:t xml:space="preserve">Furthermore, </w:t>
      </w:r>
      <w:r w:rsidR="0014593D" w:rsidRPr="004528EB">
        <w:t xml:space="preserve">while our organization </w:t>
      </w:r>
      <w:r w:rsidR="00FB346B" w:rsidRPr="004528EB">
        <w:t xml:space="preserve">strongly </w:t>
      </w:r>
      <w:r w:rsidR="0014593D" w:rsidRPr="004528EB">
        <w:t xml:space="preserve">supports expanding </w:t>
      </w:r>
      <w:r w:rsidR="0039727F" w:rsidRPr="004528EB">
        <w:t xml:space="preserve">high-quality </w:t>
      </w:r>
      <w:r w:rsidR="0014593D" w:rsidRPr="004528EB">
        <w:t xml:space="preserve">affordable housing opportunities for our clients and in our communities, </w:t>
      </w:r>
      <w:r w:rsidR="003E633F" w:rsidRPr="004528EB">
        <w:t xml:space="preserve">the Proposed Rule </w:t>
      </w:r>
      <w:r w:rsidR="00F1465D" w:rsidRPr="004528EB">
        <w:t xml:space="preserve">would not </w:t>
      </w:r>
      <w:r w:rsidR="00FB346B" w:rsidRPr="004528EB">
        <w:t xml:space="preserve">work </w:t>
      </w:r>
      <w:r w:rsidR="00FB346B" w:rsidRPr="004528EB">
        <w:lastRenderedPageBreak/>
        <w:t xml:space="preserve">to accomplish that objective. </w:t>
      </w:r>
      <w:r w:rsidR="00B71D64" w:rsidRPr="004528EB">
        <w:t xml:space="preserve">In short, this </w:t>
      </w:r>
      <w:r w:rsidR="008A3BFF" w:rsidRPr="004528EB">
        <w:t>proposal is neither a fair housing rule, nor is it an affordable housing rule.</w:t>
      </w:r>
      <w:r w:rsidR="001860E1" w:rsidRPr="004528EB">
        <w:t xml:space="preserve"> </w:t>
      </w:r>
      <w:r w:rsidR="002C3B4D" w:rsidRPr="004528EB">
        <w:t xml:space="preserve">Instead, the proposed AFFH Rule simply elevates the Administration’s deregulatory agenda at the expense of </w:t>
      </w:r>
      <w:r w:rsidR="00CA36DC" w:rsidRPr="004528EB">
        <w:t>a meaningful</w:t>
      </w:r>
      <w:r w:rsidR="002C3B4D" w:rsidRPr="004528EB">
        <w:t>, inclusive fair housing planning proces</w:t>
      </w:r>
      <w:r w:rsidR="00FB346B" w:rsidRPr="004528EB">
        <w:t>s</w:t>
      </w:r>
      <w:r w:rsidR="003C4927" w:rsidRPr="004528EB">
        <w:t>.</w:t>
      </w:r>
      <w:r w:rsidR="003E633F" w:rsidRPr="004528EB">
        <w:t xml:space="preserve"> </w:t>
      </w:r>
      <w:r w:rsidR="009B769A" w:rsidRPr="004528EB">
        <w:t xml:space="preserve">HUD should withdraw the </w:t>
      </w:r>
      <w:r w:rsidR="00D737FC" w:rsidRPr="004528EB">
        <w:t xml:space="preserve">Proposed Rule and instead focus on fully implementing the 2015 AFFH Rule. </w:t>
      </w:r>
    </w:p>
    <w:p w14:paraId="163E4567" w14:textId="77777777" w:rsidR="00444421" w:rsidRPr="004528EB" w:rsidRDefault="00444421" w:rsidP="002026BA">
      <w:pPr>
        <w:rPr>
          <w:b/>
        </w:rPr>
      </w:pPr>
    </w:p>
    <w:p w14:paraId="5E69A934" w14:textId="77777777" w:rsidR="00C02A8F" w:rsidRPr="004528EB" w:rsidRDefault="00C02A8F" w:rsidP="00C02A8F">
      <w:pPr>
        <w:rPr>
          <w:b/>
        </w:rPr>
      </w:pPr>
      <w:r w:rsidRPr="004528EB">
        <w:rPr>
          <w:b/>
        </w:rPr>
        <w:t>A.</w:t>
      </w:r>
      <w:r w:rsidRPr="004528EB">
        <w:rPr>
          <w:b/>
        </w:rPr>
        <w:tab/>
      </w:r>
      <w:r w:rsidR="000F593A" w:rsidRPr="004528EB">
        <w:rPr>
          <w:b/>
        </w:rPr>
        <w:t>The Proposed Rule Ignores Segregation and Paints a</w:t>
      </w:r>
      <w:r w:rsidR="00673EED" w:rsidRPr="004528EB">
        <w:rPr>
          <w:b/>
        </w:rPr>
        <w:t xml:space="preserve"> Substantially</w:t>
      </w:r>
      <w:r w:rsidR="000F593A" w:rsidRPr="004528EB">
        <w:rPr>
          <w:b/>
        </w:rPr>
        <w:t xml:space="preserve"> Incomplete </w:t>
      </w:r>
    </w:p>
    <w:p w14:paraId="0E0ED56F" w14:textId="59C7BB4F" w:rsidR="00444421" w:rsidRPr="004528EB" w:rsidRDefault="000F593A" w:rsidP="00C02A8F">
      <w:pPr>
        <w:ind w:firstLine="720"/>
        <w:rPr>
          <w:b/>
        </w:rPr>
      </w:pPr>
      <w:r w:rsidRPr="004528EB">
        <w:rPr>
          <w:b/>
        </w:rPr>
        <w:t>Picture Regarding Housing Discrimination</w:t>
      </w:r>
      <w:r w:rsidR="00673EED" w:rsidRPr="004528EB">
        <w:rPr>
          <w:b/>
        </w:rPr>
        <w:t xml:space="preserve"> within </w:t>
      </w:r>
      <w:r w:rsidR="00D737FC" w:rsidRPr="004528EB">
        <w:rPr>
          <w:b/>
        </w:rPr>
        <w:t xml:space="preserve">Our Nation’s </w:t>
      </w:r>
      <w:r w:rsidR="00673EED" w:rsidRPr="004528EB">
        <w:rPr>
          <w:b/>
        </w:rPr>
        <w:t>Communities</w:t>
      </w:r>
    </w:p>
    <w:p w14:paraId="58D7EBFF" w14:textId="6E85789D" w:rsidR="003A36DE" w:rsidRPr="004528EB" w:rsidRDefault="003A36DE" w:rsidP="002026BA">
      <w:pPr>
        <w:rPr>
          <w:b/>
        </w:rPr>
      </w:pPr>
    </w:p>
    <w:p w14:paraId="1CB68F25" w14:textId="21455A2B" w:rsidR="007304FC" w:rsidRPr="004528EB" w:rsidRDefault="003A36DE" w:rsidP="005B45C1">
      <w:pPr>
        <w:rPr>
          <w:bCs/>
        </w:rPr>
      </w:pPr>
      <w:r w:rsidRPr="004528EB">
        <w:rPr>
          <w:bCs/>
        </w:rPr>
        <w:t xml:space="preserve">We strongly oppose HUD’s proposal to eliminate </w:t>
      </w:r>
      <w:r w:rsidR="00B2726D" w:rsidRPr="004528EB">
        <w:rPr>
          <w:bCs/>
        </w:rPr>
        <w:t>any discussion or analysis acknowledging</w:t>
      </w:r>
      <w:r w:rsidR="00682ABC" w:rsidRPr="004528EB">
        <w:rPr>
          <w:bCs/>
        </w:rPr>
        <w:t xml:space="preserve"> </w:t>
      </w:r>
      <w:r w:rsidR="00B2726D" w:rsidRPr="004528EB">
        <w:rPr>
          <w:bCs/>
        </w:rPr>
        <w:t xml:space="preserve">the continuing role that </w:t>
      </w:r>
      <w:r w:rsidR="00682ABC" w:rsidRPr="004528EB">
        <w:rPr>
          <w:bCs/>
        </w:rPr>
        <w:t>residential segregation</w:t>
      </w:r>
      <w:r w:rsidR="00955D51" w:rsidRPr="004528EB">
        <w:rPr>
          <w:bCs/>
        </w:rPr>
        <w:t xml:space="preserve"> </w:t>
      </w:r>
      <w:r w:rsidR="00B2726D" w:rsidRPr="004528EB">
        <w:rPr>
          <w:bCs/>
        </w:rPr>
        <w:t>plays within communities</w:t>
      </w:r>
      <w:r w:rsidR="00D61296" w:rsidRPr="004528EB">
        <w:rPr>
          <w:bCs/>
        </w:rPr>
        <w:t xml:space="preserve"> across the country</w:t>
      </w:r>
      <w:r w:rsidR="00B2726D" w:rsidRPr="004528EB">
        <w:rPr>
          <w:bCs/>
        </w:rPr>
        <w:t xml:space="preserve">. In fact, the word “segregation” only appears in the Proposed Rule’s </w:t>
      </w:r>
      <w:r w:rsidR="003E547A">
        <w:rPr>
          <w:bCs/>
        </w:rPr>
        <w:t xml:space="preserve">preamble </w:t>
      </w:r>
      <w:r w:rsidR="00D61296" w:rsidRPr="004528EB">
        <w:rPr>
          <w:bCs/>
        </w:rPr>
        <w:t>description of</w:t>
      </w:r>
      <w:r w:rsidR="00B2726D" w:rsidRPr="004528EB">
        <w:rPr>
          <w:bCs/>
        </w:rPr>
        <w:t xml:space="preserve"> the 2015 AFFH Rule. </w:t>
      </w:r>
    </w:p>
    <w:p w14:paraId="296F5BBC" w14:textId="77777777" w:rsidR="007304FC" w:rsidRPr="004528EB" w:rsidRDefault="007304FC" w:rsidP="005B45C1">
      <w:pPr>
        <w:rPr>
          <w:bCs/>
        </w:rPr>
      </w:pPr>
    </w:p>
    <w:p w14:paraId="277550EB" w14:textId="1B62E62B" w:rsidR="007304FC" w:rsidRPr="004528EB" w:rsidRDefault="007304FC" w:rsidP="007304FC">
      <w:pPr>
        <w:rPr>
          <w:bCs/>
        </w:rPr>
      </w:pPr>
      <w:r w:rsidRPr="004528EB">
        <w:rPr>
          <w:bCs/>
          <w:highlight w:val="yellow"/>
        </w:rPr>
        <w:t>[ADD A FEW SENTENCES HERE THAT DESCRIBE YOUR JURISDICTION/SERVICE AREA’S HISTORY OF SEGREGATION, AND HOW THAT STILL MANIFESTS TODAY]</w:t>
      </w:r>
      <w:r w:rsidRPr="004528EB">
        <w:rPr>
          <w:bCs/>
        </w:rPr>
        <w:t xml:space="preserve"> </w:t>
      </w:r>
    </w:p>
    <w:p w14:paraId="3D9F3FAE" w14:textId="77777777" w:rsidR="007304FC" w:rsidRPr="004528EB" w:rsidRDefault="007304FC" w:rsidP="005B45C1">
      <w:pPr>
        <w:rPr>
          <w:bCs/>
        </w:rPr>
      </w:pPr>
    </w:p>
    <w:p w14:paraId="37D01D8B" w14:textId="77777777" w:rsidR="00554498" w:rsidRDefault="00DA247D" w:rsidP="005B45C1">
      <w:pPr>
        <w:rPr>
          <w:rFonts w:eastAsia="Times New Roman"/>
          <w:color w:val="212121"/>
        </w:rPr>
      </w:pPr>
      <w:r w:rsidRPr="004528EB">
        <w:rPr>
          <w:bCs/>
        </w:rPr>
        <w:t>Pretending that segregation is not a key fair housing issue that must be addressed is</w:t>
      </w:r>
      <w:r w:rsidR="00F203E8" w:rsidRPr="004528EB">
        <w:rPr>
          <w:bCs/>
        </w:rPr>
        <w:t xml:space="preserve"> wholly inconsistent with the </w:t>
      </w:r>
      <w:r w:rsidR="00D61296" w:rsidRPr="004528EB">
        <w:rPr>
          <w:bCs/>
        </w:rPr>
        <w:t>concept</w:t>
      </w:r>
      <w:r w:rsidR="00F203E8" w:rsidRPr="004528EB">
        <w:rPr>
          <w:bCs/>
        </w:rPr>
        <w:t xml:space="preserve"> of </w:t>
      </w:r>
      <w:r w:rsidR="00103638" w:rsidRPr="004528EB">
        <w:rPr>
          <w:bCs/>
        </w:rPr>
        <w:t>affirmatively furthering fair housing</w:t>
      </w:r>
      <w:r w:rsidRPr="004528EB">
        <w:rPr>
          <w:bCs/>
        </w:rPr>
        <w:t xml:space="preserve">. </w:t>
      </w:r>
      <w:r w:rsidR="00A54C4E" w:rsidRPr="004528EB">
        <w:rPr>
          <w:bCs/>
        </w:rPr>
        <w:t>In</w:t>
      </w:r>
      <w:r w:rsidR="00D737FC" w:rsidRPr="004528EB">
        <w:rPr>
          <w:bCs/>
        </w:rPr>
        <w:t xml:space="preserve"> </w:t>
      </w:r>
      <w:r w:rsidR="00F3506A" w:rsidRPr="004528EB">
        <w:rPr>
          <w:bCs/>
          <w:i/>
          <w:iCs/>
        </w:rPr>
        <w:t>N.A.A.C.P. v. Secretary of HUD,</w:t>
      </w:r>
      <w:r w:rsidR="00F3506A" w:rsidRPr="004528EB">
        <w:rPr>
          <w:bCs/>
        </w:rPr>
        <w:t xml:space="preserve"> </w:t>
      </w:r>
      <w:r w:rsidR="00190CD6" w:rsidRPr="004528EB">
        <w:rPr>
          <w:bCs/>
        </w:rPr>
        <w:t xml:space="preserve">the court noted that the Fair Housing Act’s legislative history </w:t>
      </w:r>
      <w:r w:rsidR="005B45C1" w:rsidRPr="004528EB">
        <w:rPr>
          <w:bCs/>
        </w:rPr>
        <w:t>“s</w:t>
      </w:r>
      <w:r w:rsidR="005B45C1" w:rsidRPr="004528EB">
        <w:rPr>
          <w:rFonts w:eastAsia="Times New Roman"/>
          <w:color w:val="212121"/>
        </w:rPr>
        <w:t xml:space="preserve">uggests an intent that HUD do more than simply not discriminate itself; it reflects the desire to have HUD use its grant programs to </w:t>
      </w:r>
      <w:r w:rsidR="005B45C1" w:rsidRPr="004528EB">
        <w:rPr>
          <w:rFonts w:eastAsia="Times New Roman"/>
          <w:i/>
          <w:iCs/>
          <w:color w:val="212121"/>
        </w:rPr>
        <w:t>assist in ending discrimination and segregation</w:t>
      </w:r>
      <w:r w:rsidR="005B45C1" w:rsidRPr="004528EB">
        <w:rPr>
          <w:rFonts w:eastAsia="Times New Roman"/>
          <w:color w:val="212121"/>
        </w:rPr>
        <w:t>, to the point where the supply of genuinely open housing increases.”</w:t>
      </w:r>
      <w:r w:rsidR="005B45C1" w:rsidRPr="004528EB">
        <w:rPr>
          <w:rStyle w:val="FootnoteReference"/>
          <w:rFonts w:eastAsia="Times New Roman"/>
          <w:color w:val="212121"/>
        </w:rPr>
        <w:footnoteReference w:id="3"/>
      </w:r>
      <w:r w:rsidR="00374723" w:rsidRPr="004528EB">
        <w:rPr>
          <w:rFonts w:eastAsia="Times New Roman"/>
          <w:color w:val="212121"/>
        </w:rPr>
        <w:t xml:space="preserve"> In order to assist in ending discrimination and segregation, </w:t>
      </w:r>
      <w:r w:rsidR="002A6C9B" w:rsidRPr="004528EB">
        <w:rPr>
          <w:rFonts w:eastAsia="Times New Roman"/>
          <w:color w:val="212121"/>
        </w:rPr>
        <w:t xml:space="preserve">HUD must first acknowledge the role that </w:t>
      </w:r>
      <w:r w:rsidR="00B64A53" w:rsidRPr="004528EB">
        <w:rPr>
          <w:rFonts w:eastAsia="Times New Roman"/>
          <w:color w:val="212121"/>
        </w:rPr>
        <w:t xml:space="preserve">discriminatory </w:t>
      </w:r>
      <w:r w:rsidR="002A6C9B" w:rsidRPr="004528EB">
        <w:rPr>
          <w:rFonts w:eastAsia="Times New Roman"/>
          <w:color w:val="212121"/>
        </w:rPr>
        <w:t>policies and practices have historically played, and continue to play</w:t>
      </w:r>
      <w:r w:rsidRPr="004528EB">
        <w:rPr>
          <w:rFonts w:eastAsia="Times New Roman"/>
          <w:color w:val="212121"/>
        </w:rPr>
        <w:t xml:space="preserve">, in </w:t>
      </w:r>
      <w:r w:rsidR="00A00FFC" w:rsidRPr="004528EB">
        <w:rPr>
          <w:rFonts w:eastAsia="Times New Roman"/>
          <w:color w:val="212121"/>
        </w:rPr>
        <w:t>our nation’s communities.</w:t>
      </w:r>
      <w:r w:rsidRPr="004528EB">
        <w:rPr>
          <w:rFonts w:eastAsia="Times New Roman"/>
          <w:color w:val="212121"/>
        </w:rPr>
        <w:t xml:space="preserve"> </w:t>
      </w:r>
      <w:r w:rsidR="00542F1F" w:rsidRPr="004528EB">
        <w:rPr>
          <w:rFonts w:eastAsia="Times New Roman"/>
          <w:color w:val="212121"/>
          <w:highlight w:val="yellow"/>
        </w:rPr>
        <w:t>[FOR, EXAMPLE, IN MY COMMUNITY....]</w:t>
      </w:r>
      <w:r w:rsidR="00542F1F" w:rsidRPr="004528EB">
        <w:rPr>
          <w:rFonts w:eastAsia="Times New Roman"/>
          <w:color w:val="212121"/>
        </w:rPr>
        <w:t xml:space="preserve"> </w:t>
      </w:r>
    </w:p>
    <w:p w14:paraId="11DCC5B3" w14:textId="77777777" w:rsidR="00554498" w:rsidRDefault="00554498" w:rsidP="005B45C1">
      <w:pPr>
        <w:rPr>
          <w:rFonts w:eastAsia="Times New Roman"/>
          <w:color w:val="212121"/>
        </w:rPr>
      </w:pPr>
    </w:p>
    <w:p w14:paraId="0874F745" w14:textId="3F01D9C9" w:rsidR="00A54C4E" w:rsidRPr="004528EB" w:rsidRDefault="007304FC" w:rsidP="005B45C1">
      <w:pPr>
        <w:rPr>
          <w:rFonts w:eastAsia="Times New Roman"/>
          <w:color w:val="212121"/>
        </w:rPr>
      </w:pPr>
      <w:r w:rsidRPr="004528EB">
        <w:rPr>
          <w:rFonts w:eastAsia="Times New Roman"/>
          <w:color w:val="212121"/>
        </w:rPr>
        <w:t xml:space="preserve">By requiring that jurisdictions and public housing authorities (PHAs) </w:t>
      </w:r>
      <w:r w:rsidR="00AB29B5" w:rsidRPr="004528EB">
        <w:rPr>
          <w:rFonts w:eastAsia="Times New Roman"/>
          <w:color w:val="212121"/>
        </w:rPr>
        <w:t xml:space="preserve">specifically consider </w:t>
      </w:r>
      <w:r w:rsidR="00A00FFC" w:rsidRPr="004528EB">
        <w:rPr>
          <w:rFonts w:eastAsia="Times New Roman"/>
          <w:color w:val="212121"/>
        </w:rPr>
        <w:t xml:space="preserve">fair housing issues such as </w:t>
      </w:r>
      <w:r w:rsidR="00AB29B5" w:rsidRPr="004528EB">
        <w:rPr>
          <w:rFonts w:eastAsia="Times New Roman"/>
          <w:color w:val="212121"/>
        </w:rPr>
        <w:t>segregation</w:t>
      </w:r>
      <w:r w:rsidR="00C218FC" w:rsidRPr="004528EB">
        <w:rPr>
          <w:rFonts w:eastAsia="Times New Roman"/>
          <w:color w:val="212121"/>
        </w:rPr>
        <w:t xml:space="preserve">, </w:t>
      </w:r>
      <w:r w:rsidR="00AB29B5" w:rsidRPr="004528EB">
        <w:rPr>
          <w:rFonts w:eastAsia="Times New Roman"/>
          <w:color w:val="212121"/>
        </w:rPr>
        <w:t xml:space="preserve">the 2015 Rule ensures that HUD funding recipients </w:t>
      </w:r>
      <w:r w:rsidR="00547166" w:rsidRPr="004528EB">
        <w:rPr>
          <w:rFonts w:eastAsia="Times New Roman"/>
          <w:color w:val="212121"/>
        </w:rPr>
        <w:t>are engaged in info</w:t>
      </w:r>
      <w:r w:rsidR="00C218FC" w:rsidRPr="004528EB">
        <w:rPr>
          <w:rFonts w:eastAsia="Times New Roman"/>
          <w:color w:val="212121"/>
        </w:rPr>
        <w:t xml:space="preserve">rmed fair housing </w:t>
      </w:r>
      <w:r w:rsidR="00A00FFC" w:rsidRPr="004528EB">
        <w:rPr>
          <w:rFonts w:eastAsia="Times New Roman"/>
          <w:color w:val="212121"/>
        </w:rPr>
        <w:t xml:space="preserve">planning and goal-setting </w:t>
      </w:r>
      <w:r w:rsidR="00B777F0" w:rsidRPr="004528EB">
        <w:rPr>
          <w:rFonts w:eastAsia="Times New Roman"/>
          <w:color w:val="212121"/>
        </w:rPr>
        <w:t>that incorporates HUD data</w:t>
      </w:r>
      <w:r w:rsidR="00A00FFC" w:rsidRPr="004528EB">
        <w:rPr>
          <w:rFonts w:eastAsia="Times New Roman"/>
          <w:color w:val="212121"/>
        </w:rPr>
        <w:t>, community input, and local historical context</w:t>
      </w:r>
      <w:r w:rsidR="00B777F0" w:rsidRPr="004528EB">
        <w:rPr>
          <w:rFonts w:eastAsia="Times New Roman"/>
          <w:color w:val="212121"/>
        </w:rPr>
        <w:t xml:space="preserve">. </w:t>
      </w:r>
      <w:r w:rsidR="00F24AB6" w:rsidRPr="004528EB">
        <w:rPr>
          <w:rFonts w:eastAsia="Times New Roman"/>
          <w:color w:val="212121"/>
        </w:rPr>
        <w:t xml:space="preserve">Under the Proposed Rule, </w:t>
      </w:r>
      <w:r w:rsidR="00554498">
        <w:rPr>
          <w:rFonts w:eastAsia="Times New Roman"/>
          <w:color w:val="212121"/>
        </w:rPr>
        <w:t xml:space="preserve">by contrast, </w:t>
      </w:r>
      <w:r w:rsidR="00F24AB6" w:rsidRPr="004528EB">
        <w:rPr>
          <w:rFonts w:eastAsia="Times New Roman"/>
          <w:color w:val="212121"/>
        </w:rPr>
        <w:t>a program participant could c</w:t>
      </w:r>
      <w:r w:rsidR="00B13787" w:rsidRPr="004528EB">
        <w:rPr>
          <w:rFonts w:eastAsia="Times New Roman"/>
          <w:color w:val="212121"/>
        </w:rPr>
        <w:t>omplete its AFFH certification without addressing</w:t>
      </w:r>
      <w:r w:rsidR="00577F11" w:rsidRPr="004528EB">
        <w:rPr>
          <w:rFonts w:eastAsia="Times New Roman"/>
          <w:color w:val="212121"/>
        </w:rPr>
        <w:t xml:space="preserve"> (or even mentioning)</w:t>
      </w:r>
      <w:r w:rsidR="00F72688" w:rsidRPr="004528EB">
        <w:rPr>
          <w:rFonts w:eastAsia="Times New Roman"/>
          <w:color w:val="212121"/>
        </w:rPr>
        <w:t xml:space="preserve"> the impact of housing segregatio</w:t>
      </w:r>
      <w:r w:rsidR="002E6B9D" w:rsidRPr="004528EB">
        <w:rPr>
          <w:rFonts w:eastAsia="Times New Roman"/>
          <w:color w:val="212121"/>
        </w:rPr>
        <w:t>n in a jurisdiction or region</w:t>
      </w:r>
      <w:r w:rsidR="00577F11" w:rsidRPr="004528EB">
        <w:rPr>
          <w:rFonts w:eastAsia="Times New Roman"/>
          <w:color w:val="212121"/>
        </w:rPr>
        <w:t>.</w:t>
      </w:r>
      <w:r w:rsidR="00B13787" w:rsidRPr="004528EB">
        <w:rPr>
          <w:rFonts w:eastAsia="Times New Roman"/>
          <w:color w:val="212121"/>
        </w:rPr>
        <w:t xml:space="preserve"> </w:t>
      </w:r>
    </w:p>
    <w:p w14:paraId="34952018" w14:textId="57FCF902" w:rsidR="00EB6CDC" w:rsidRPr="004528EB" w:rsidRDefault="00EB6CDC" w:rsidP="005B45C1">
      <w:pPr>
        <w:rPr>
          <w:rFonts w:eastAsia="Times New Roman"/>
          <w:color w:val="212121"/>
        </w:rPr>
      </w:pPr>
    </w:p>
    <w:p w14:paraId="67450471" w14:textId="284EEF59" w:rsidR="004528EB" w:rsidRPr="004528EB" w:rsidRDefault="00082392" w:rsidP="00136F19">
      <w:pPr>
        <w:rPr>
          <w:bCs/>
        </w:rPr>
      </w:pPr>
      <w:r w:rsidRPr="004528EB">
        <w:rPr>
          <w:bCs/>
        </w:rPr>
        <w:t xml:space="preserve">Furthermore, HUD’s Proposed Rule paints an incomplete picture </w:t>
      </w:r>
      <w:r w:rsidR="00915156" w:rsidRPr="004528EB">
        <w:rPr>
          <w:bCs/>
        </w:rPr>
        <w:t xml:space="preserve">of the prevalence of housing discrimination within jurisdictions and by PHAs. </w:t>
      </w:r>
      <w:r w:rsidR="00C65CAC" w:rsidRPr="004528EB">
        <w:rPr>
          <w:bCs/>
          <w:highlight w:val="yellow"/>
        </w:rPr>
        <w:t xml:space="preserve">[ADD A FEW SENTENCES HERE THAT DESCRIBE WHAT HOUSING DISCRIMINATION LOOKS LIKE </w:t>
      </w:r>
      <w:r w:rsidR="00B51981" w:rsidRPr="004528EB">
        <w:rPr>
          <w:bCs/>
          <w:highlight w:val="yellow"/>
        </w:rPr>
        <w:t>IN YOUR SERVICE AREA GENERALLY</w:t>
      </w:r>
      <w:r w:rsidR="00C65CAC" w:rsidRPr="004528EB">
        <w:rPr>
          <w:bCs/>
          <w:highlight w:val="yellow"/>
        </w:rPr>
        <w:t>]</w:t>
      </w:r>
      <w:r w:rsidR="00B51981" w:rsidRPr="004528EB">
        <w:rPr>
          <w:bCs/>
        </w:rPr>
        <w:t xml:space="preserve">. </w:t>
      </w:r>
      <w:r w:rsidR="00DD78DD" w:rsidRPr="004528EB">
        <w:rPr>
          <w:bCs/>
        </w:rPr>
        <w:t>HUD’s proposed “Jurisdictional Risk Analysis”</w:t>
      </w:r>
      <w:r w:rsidR="00542F1F" w:rsidRPr="004528EB">
        <w:rPr>
          <w:bCs/>
        </w:rPr>
        <w:t xml:space="preserve"> treats</w:t>
      </w:r>
      <w:r w:rsidR="00A75089" w:rsidRPr="004528EB">
        <w:rPr>
          <w:bCs/>
        </w:rPr>
        <w:t xml:space="preserve"> the prevalence of housing discrimination in a </w:t>
      </w:r>
      <w:r w:rsidR="00542F1F" w:rsidRPr="004528EB">
        <w:rPr>
          <w:bCs/>
        </w:rPr>
        <w:t>jurisdiction or PH</w:t>
      </w:r>
      <w:r w:rsidR="00A75089" w:rsidRPr="004528EB">
        <w:rPr>
          <w:bCs/>
        </w:rPr>
        <w:t>A service area as an afterthought</w:t>
      </w:r>
      <w:r w:rsidR="002A0078" w:rsidRPr="004528EB">
        <w:rPr>
          <w:bCs/>
        </w:rPr>
        <w:t xml:space="preserve"> – to be examined only </w:t>
      </w:r>
      <w:r w:rsidR="00B2710C">
        <w:rPr>
          <w:bCs/>
        </w:rPr>
        <w:t>in the context of being considered an “outstanding AFFH performer</w:t>
      </w:r>
      <w:r w:rsidR="00D3612B" w:rsidRPr="004528EB">
        <w:rPr>
          <w:bCs/>
        </w:rPr>
        <w:t>.</w:t>
      </w:r>
      <w:r w:rsidR="00B2710C">
        <w:rPr>
          <w:bCs/>
        </w:rPr>
        <w:t>”</w:t>
      </w:r>
      <w:r w:rsidR="00D3612B" w:rsidRPr="004528EB">
        <w:rPr>
          <w:bCs/>
        </w:rPr>
        <w:t xml:space="preserve"> Furthermore, th</w:t>
      </w:r>
      <w:r w:rsidR="004041EE" w:rsidRPr="004528EB">
        <w:rPr>
          <w:bCs/>
        </w:rPr>
        <w:t>e</w:t>
      </w:r>
      <w:r w:rsidR="00D3612B" w:rsidRPr="004528EB">
        <w:rPr>
          <w:bCs/>
        </w:rPr>
        <w:t xml:space="preserve"> “Risk Analysis” fails to account for the </w:t>
      </w:r>
      <w:r w:rsidR="00EA64C3" w:rsidRPr="004528EB">
        <w:rPr>
          <w:bCs/>
        </w:rPr>
        <w:t xml:space="preserve">important </w:t>
      </w:r>
      <w:r w:rsidR="00D3612B" w:rsidRPr="004528EB">
        <w:rPr>
          <w:bCs/>
        </w:rPr>
        <w:t>role of private fair housing enforcement</w:t>
      </w:r>
      <w:r w:rsidR="004041EE" w:rsidRPr="004528EB">
        <w:rPr>
          <w:bCs/>
        </w:rPr>
        <w:t>, as the analysis</w:t>
      </w:r>
      <w:r w:rsidR="00EA64C3" w:rsidRPr="004528EB">
        <w:rPr>
          <w:bCs/>
        </w:rPr>
        <w:t xml:space="preserve"> </w:t>
      </w:r>
      <w:r w:rsidR="004041EE" w:rsidRPr="004528EB">
        <w:rPr>
          <w:bCs/>
        </w:rPr>
        <w:t>only considers</w:t>
      </w:r>
      <w:r w:rsidR="0070618D" w:rsidRPr="004528EB">
        <w:rPr>
          <w:bCs/>
        </w:rPr>
        <w:t xml:space="preserve"> findings of</w:t>
      </w:r>
      <w:r w:rsidR="00EA64C3" w:rsidRPr="004528EB">
        <w:rPr>
          <w:bCs/>
        </w:rPr>
        <w:t xml:space="preserve"> civil rights violations</w:t>
      </w:r>
      <w:r w:rsidR="0070618D" w:rsidRPr="004528EB">
        <w:rPr>
          <w:bCs/>
        </w:rPr>
        <w:t xml:space="preserve"> in cases</w:t>
      </w:r>
      <w:r w:rsidR="00EA64C3" w:rsidRPr="004528EB">
        <w:rPr>
          <w:bCs/>
        </w:rPr>
        <w:t xml:space="preserve"> brought by HUD or the U.S. Department of Justice</w:t>
      </w:r>
      <w:r w:rsidR="0092680A" w:rsidRPr="004528EB">
        <w:rPr>
          <w:bCs/>
        </w:rPr>
        <w:t xml:space="preserve">. </w:t>
      </w:r>
      <w:r w:rsidR="002B674F" w:rsidRPr="004528EB">
        <w:rPr>
          <w:bCs/>
        </w:rPr>
        <w:t>Ignoring the role of private enforcement</w:t>
      </w:r>
      <w:r w:rsidR="0070618D" w:rsidRPr="004528EB">
        <w:rPr>
          <w:bCs/>
        </w:rPr>
        <w:t>, including lawsuits brought under the FHA by private parties,</w:t>
      </w:r>
      <w:r w:rsidR="002B674F" w:rsidRPr="004528EB">
        <w:rPr>
          <w:bCs/>
        </w:rPr>
        <w:t xml:space="preserve"> does not present a complete picture about the state of fair housing in a given jurisdiction. </w:t>
      </w:r>
      <w:r w:rsidR="003B14CD" w:rsidRPr="004528EB">
        <w:rPr>
          <w:bCs/>
          <w:highlight w:val="yellow"/>
        </w:rPr>
        <w:t>[ADD IN EXAMPLES OF PRIVATE FAIR HOUSING ENFORCEMENT</w:t>
      </w:r>
      <w:r w:rsidR="001C3D81" w:rsidRPr="004528EB">
        <w:rPr>
          <w:bCs/>
          <w:highlight w:val="yellow"/>
        </w:rPr>
        <w:t xml:space="preserve"> IN YOUR COMMUNITY</w:t>
      </w:r>
      <w:r w:rsidR="00682FD5">
        <w:rPr>
          <w:bCs/>
          <w:highlight w:val="yellow"/>
        </w:rPr>
        <w:t>, AND WHY SUCH ENFORCEMENT IS SO IMPORTANT</w:t>
      </w:r>
      <w:r w:rsidR="003B14CD" w:rsidRPr="004528EB">
        <w:rPr>
          <w:bCs/>
          <w:highlight w:val="yellow"/>
        </w:rPr>
        <w:t>.]</w:t>
      </w:r>
      <w:r w:rsidR="00DF6003" w:rsidRPr="004528EB">
        <w:rPr>
          <w:bCs/>
        </w:rPr>
        <w:t xml:space="preserve"> </w:t>
      </w:r>
    </w:p>
    <w:p w14:paraId="69EDF94B" w14:textId="77777777" w:rsidR="004528EB" w:rsidRPr="004528EB" w:rsidRDefault="004528EB" w:rsidP="00136F19">
      <w:pPr>
        <w:rPr>
          <w:bCs/>
        </w:rPr>
      </w:pPr>
    </w:p>
    <w:p w14:paraId="54825AE7" w14:textId="659F8C0A" w:rsidR="00C65CAC" w:rsidRPr="004528EB" w:rsidRDefault="00DF6003" w:rsidP="00136F19">
      <w:pPr>
        <w:rPr>
          <w:bCs/>
        </w:rPr>
      </w:pPr>
      <w:r w:rsidRPr="004528EB">
        <w:rPr>
          <w:bCs/>
        </w:rPr>
        <w:lastRenderedPageBreak/>
        <w:t xml:space="preserve">Furthermore, the “inherent barriers” to fair housing choice </w:t>
      </w:r>
      <w:r w:rsidR="004528EB" w:rsidRPr="004528EB">
        <w:rPr>
          <w:bCs/>
        </w:rPr>
        <w:t xml:space="preserve">included in the </w:t>
      </w:r>
      <w:r w:rsidR="00682FD5">
        <w:rPr>
          <w:bCs/>
        </w:rPr>
        <w:t xml:space="preserve">AFFH certification </w:t>
      </w:r>
      <w:r w:rsidRPr="004528EB">
        <w:rPr>
          <w:bCs/>
        </w:rPr>
        <w:t>only explicitly mention one protected class – persons with disabilities</w:t>
      </w:r>
      <w:r w:rsidR="008E6FCC">
        <w:rPr>
          <w:rStyle w:val="FootnoteReference"/>
          <w:bCs/>
        </w:rPr>
        <w:footnoteReference w:id="4"/>
      </w:r>
      <w:r w:rsidR="000C378E" w:rsidRPr="004528EB">
        <w:rPr>
          <w:bCs/>
        </w:rPr>
        <w:t xml:space="preserve"> </w:t>
      </w:r>
      <w:r w:rsidR="00486E37">
        <w:rPr>
          <w:bCs/>
        </w:rPr>
        <w:t>--</w:t>
      </w:r>
      <w:r w:rsidR="00486E37">
        <w:rPr>
          <w:bCs/>
        </w:rPr>
        <w:t xml:space="preserve"> but </w:t>
      </w:r>
      <w:r w:rsidRPr="004528EB">
        <w:rPr>
          <w:bCs/>
        </w:rPr>
        <w:t xml:space="preserve">make no further attempt to </w:t>
      </w:r>
      <w:r w:rsidR="00C41DCC">
        <w:rPr>
          <w:bCs/>
        </w:rPr>
        <w:t xml:space="preserve">directly </w:t>
      </w:r>
      <w:r w:rsidRPr="004528EB">
        <w:rPr>
          <w:bCs/>
        </w:rPr>
        <w:t>connect disparities in access to housing opportunities with longstanding patterns of segregation and discrimination</w:t>
      </w:r>
      <w:r w:rsidR="000C378E" w:rsidRPr="004528EB">
        <w:rPr>
          <w:bCs/>
        </w:rPr>
        <w:t xml:space="preserve"> against other protected classes</w:t>
      </w:r>
      <w:r w:rsidR="00FB31DB">
        <w:rPr>
          <w:bCs/>
        </w:rPr>
        <w:t>, or to more fully explore housing barriers faced by persons with disabilities</w:t>
      </w:r>
      <w:r w:rsidR="000C378E" w:rsidRPr="004528EB">
        <w:rPr>
          <w:bCs/>
        </w:rPr>
        <w:t xml:space="preserve">. </w:t>
      </w:r>
      <w:r w:rsidRPr="004528EB">
        <w:rPr>
          <w:bCs/>
        </w:rPr>
        <w:t xml:space="preserve"> </w:t>
      </w:r>
    </w:p>
    <w:p w14:paraId="33A99365" w14:textId="77777777" w:rsidR="00FB2BB4" w:rsidRPr="004528EB" w:rsidRDefault="00FB2BB4" w:rsidP="00136F19">
      <w:pPr>
        <w:rPr>
          <w:bCs/>
        </w:rPr>
      </w:pPr>
    </w:p>
    <w:p w14:paraId="54842FFA" w14:textId="2DCC3837" w:rsidR="004329A6" w:rsidRPr="004528EB" w:rsidRDefault="001C3D81" w:rsidP="001C3D81">
      <w:pPr>
        <w:ind w:left="720" w:hanging="720"/>
        <w:rPr>
          <w:b/>
        </w:rPr>
      </w:pPr>
      <w:r w:rsidRPr="004528EB">
        <w:rPr>
          <w:b/>
        </w:rPr>
        <w:t>B.</w:t>
      </w:r>
      <w:r w:rsidRPr="004528EB">
        <w:rPr>
          <w:b/>
        </w:rPr>
        <w:tab/>
      </w:r>
      <w:r w:rsidR="00BC57CE" w:rsidRPr="004528EB">
        <w:rPr>
          <w:b/>
        </w:rPr>
        <w:t xml:space="preserve">The Proposed Rule Eliminates Important Opportunities for </w:t>
      </w:r>
      <w:r w:rsidR="0031599D" w:rsidRPr="004528EB">
        <w:rPr>
          <w:b/>
        </w:rPr>
        <w:t xml:space="preserve">Specific </w:t>
      </w:r>
      <w:r w:rsidR="00BC57CE" w:rsidRPr="004528EB">
        <w:rPr>
          <w:b/>
        </w:rPr>
        <w:t xml:space="preserve">Community Engagement </w:t>
      </w:r>
      <w:r w:rsidR="008D1493" w:rsidRPr="004528EB">
        <w:rPr>
          <w:b/>
        </w:rPr>
        <w:t xml:space="preserve">Regarding </w:t>
      </w:r>
      <w:r w:rsidR="00BC57CE" w:rsidRPr="004528EB">
        <w:rPr>
          <w:b/>
        </w:rPr>
        <w:t xml:space="preserve">Fair Housing Issues </w:t>
      </w:r>
    </w:p>
    <w:p w14:paraId="095C18AA" w14:textId="77777777" w:rsidR="00D600F3" w:rsidRPr="004528EB" w:rsidRDefault="00D600F3" w:rsidP="002026BA"/>
    <w:p w14:paraId="1DC99F7A" w14:textId="77777777" w:rsidR="00C41DCC" w:rsidRDefault="0099095B" w:rsidP="00837EB9">
      <w:r w:rsidRPr="004528EB">
        <w:t>We</w:t>
      </w:r>
      <w:r w:rsidR="0008209E" w:rsidRPr="004528EB">
        <w:t xml:space="preserve"> strongly</w:t>
      </w:r>
      <w:r w:rsidRPr="004528EB">
        <w:t xml:space="preserve"> oppose HUD’s </w:t>
      </w:r>
      <w:r w:rsidR="0008209E" w:rsidRPr="004528EB">
        <w:t>proposed elimination of public engagement that specifically focuses on fair housing issues.</w:t>
      </w:r>
      <w:r w:rsidR="002307F0" w:rsidRPr="004528EB">
        <w:t xml:space="preserve"> </w:t>
      </w:r>
      <w:r w:rsidR="002307F0" w:rsidRPr="004528EB">
        <w:rPr>
          <w:highlight w:val="yellow"/>
        </w:rPr>
        <w:t>[INSERT LANGUAGE ABOUT WHY COMMUNITY ENGAGEMENT IS IMPORTANT FOR YOUR ORGANIZATION/YOUR ORGANIZATION’S PAST ENGAGEMENT WITH PLANNING PROCESSES].</w:t>
      </w:r>
      <w:r w:rsidR="0008209E" w:rsidRPr="004528EB">
        <w:t xml:space="preserve"> </w:t>
      </w:r>
    </w:p>
    <w:p w14:paraId="7230924C" w14:textId="77777777" w:rsidR="00C41DCC" w:rsidRDefault="00C41DCC" w:rsidP="00837EB9"/>
    <w:p w14:paraId="2493AA04" w14:textId="5AF7DEF0" w:rsidR="00837EB9" w:rsidRPr="004528EB" w:rsidRDefault="00D600F3" w:rsidP="00837EB9">
      <w:r w:rsidRPr="004528EB">
        <w:t xml:space="preserve">The </w:t>
      </w:r>
      <w:r w:rsidR="00B70F63" w:rsidRPr="004528EB">
        <w:t>A</w:t>
      </w:r>
      <w:r w:rsidR="00F34EB9" w:rsidRPr="004528EB">
        <w:t>ssessment of Fair Housing (AFH)</w:t>
      </w:r>
      <w:r w:rsidR="00B70F63" w:rsidRPr="004528EB">
        <w:t xml:space="preserve"> process</w:t>
      </w:r>
      <w:r w:rsidR="00136F19" w:rsidRPr="004528EB">
        <w:t xml:space="preserve"> created by the</w:t>
      </w:r>
      <w:r w:rsidR="00F00EF3" w:rsidRPr="004528EB">
        <w:t xml:space="preserve"> </w:t>
      </w:r>
      <w:r w:rsidR="00136F19" w:rsidRPr="004528EB">
        <w:t xml:space="preserve">2015 </w:t>
      </w:r>
      <w:r w:rsidR="00F00EF3" w:rsidRPr="004528EB">
        <w:t>AFFH</w:t>
      </w:r>
      <w:r w:rsidRPr="004528EB">
        <w:t xml:space="preserve"> Rule </w:t>
      </w:r>
      <w:r w:rsidR="00F34EB9" w:rsidRPr="004528EB">
        <w:t>emphasizes</w:t>
      </w:r>
      <w:r w:rsidR="006F4DFC" w:rsidRPr="004528EB">
        <w:t xml:space="preserve"> local</w:t>
      </w:r>
      <w:r w:rsidR="00E1033B" w:rsidRPr="004528EB">
        <w:t xml:space="preserve"> public </w:t>
      </w:r>
      <w:r w:rsidR="006F4DFC" w:rsidRPr="004528EB">
        <w:t>engagement</w:t>
      </w:r>
      <w:r w:rsidR="00E1033B" w:rsidRPr="004528EB">
        <w:t xml:space="preserve"> on important fair housing issues such as segregation, disparities in acces</w:t>
      </w:r>
      <w:r w:rsidR="0050475A" w:rsidRPr="004528EB">
        <w:t>s to opportunity</w:t>
      </w:r>
      <w:r w:rsidR="00092DDD" w:rsidRPr="004528EB">
        <w:t>, and disproportionate housing needs</w:t>
      </w:r>
      <w:r w:rsidR="006F4DFC" w:rsidRPr="004528EB">
        <w:t>.</w:t>
      </w:r>
      <w:r w:rsidR="004329A6" w:rsidRPr="004528EB">
        <w:t xml:space="preserve"> </w:t>
      </w:r>
      <w:r w:rsidR="00A530A2" w:rsidRPr="004528EB">
        <w:t xml:space="preserve">Strong community participation </w:t>
      </w:r>
      <w:r w:rsidR="00092DDD" w:rsidRPr="004528EB">
        <w:t xml:space="preserve">ensures that </w:t>
      </w:r>
      <w:r w:rsidR="00837EB9" w:rsidRPr="004528EB">
        <w:t>program participants’ resulting analysis and goals reflect</w:t>
      </w:r>
      <w:r w:rsidR="00157EE4" w:rsidRPr="004528EB">
        <w:t xml:space="preserve"> the input of local </w:t>
      </w:r>
      <w:r w:rsidR="0031702C" w:rsidRPr="004528EB">
        <w:t xml:space="preserve">stakeholders, including residents who are members of protected classes. </w:t>
      </w:r>
      <w:r w:rsidR="00837EB9" w:rsidRPr="004528EB">
        <w:t xml:space="preserve">As HUD itself states in the </w:t>
      </w:r>
      <w:r w:rsidR="00837EB9" w:rsidRPr="004528EB">
        <w:rPr>
          <w:i/>
          <w:iCs/>
        </w:rPr>
        <w:t>AFFH Rule Guidebook</w:t>
      </w:r>
      <w:r w:rsidR="00837EB9" w:rsidRPr="004528EB">
        <w:t xml:space="preserve">, </w:t>
      </w:r>
      <w:r w:rsidR="0099095B" w:rsidRPr="004528EB">
        <w:t>“</w:t>
      </w:r>
      <w:r w:rsidR="00837EB9" w:rsidRPr="004528EB">
        <w:rPr>
          <w:rFonts w:eastAsia="Times New Roman"/>
        </w:rPr>
        <w:t>Community participation can have many benefits, including cost-effectiveness, instilling ownership and support of fair housing planning in the broader community, and building trust and relationships throughout the community.</w:t>
      </w:r>
      <w:r w:rsidR="0099095B" w:rsidRPr="004528EB">
        <w:rPr>
          <w:rFonts w:eastAsia="Times New Roman"/>
        </w:rPr>
        <w:t>”</w:t>
      </w:r>
      <w:r w:rsidR="00753A5E" w:rsidRPr="004528EB">
        <w:rPr>
          <w:rStyle w:val="FootnoteReference"/>
          <w:rFonts w:eastAsia="Times New Roman"/>
        </w:rPr>
        <w:footnoteReference w:id="5"/>
      </w:r>
      <w:r w:rsidR="008F4C10" w:rsidRPr="004528EB">
        <w:rPr>
          <w:rFonts w:eastAsia="Times New Roman"/>
        </w:rPr>
        <w:t xml:space="preserve"> However, those benefits are </w:t>
      </w:r>
      <w:r w:rsidR="00BB1BE1">
        <w:rPr>
          <w:rFonts w:eastAsia="Times New Roman"/>
        </w:rPr>
        <w:t>essentially ignored</w:t>
      </w:r>
      <w:r w:rsidR="008F4C10" w:rsidRPr="004528EB">
        <w:rPr>
          <w:rFonts w:eastAsia="Times New Roman"/>
        </w:rPr>
        <w:t xml:space="preserve"> by HUD in its Proposed Rule. </w:t>
      </w:r>
    </w:p>
    <w:p w14:paraId="034C4987" w14:textId="76455C59" w:rsidR="00092DDD" w:rsidRPr="004528EB" w:rsidRDefault="00092DDD" w:rsidP="002026BA"/>
    <w:p w14:paraId="36639543" w14:textId="3EFA1A6B" w:rsidR="0019614D" w:rsidRPr="004528EB" w:rsidRDefault="0019614D" w:rsidP="0019614D">
      <w:r w:rsidRPr="004528EB">
        <w:rPr>
          <w:highlight w:val="yellow"/>
        </w:rPr>
        <w:t>[INSERT A FEW LINES ABOUT ANY EXPERIENCE YOUR ORGANIZATION HAS HAD WITH COMMUNITY PARTICIPATION,</w:t>
      </w:r>
      <w:r w:rsidR="006C714F" w:rsidRPr="004528EB">
        <w:rPr>
          <w:highlight w:val="yellow"/>
        </w:rPr>
        <w:t xml:space="preserve"> ESPECIALLY THE AFH,</w:t>
      </w:r>
      <w:r w:rsidRPr="004528EB">
        <w:rPr>
          <w:highlight w:val="yellow"/>
        </w:rPr>
        <w:t xml:space="preserve"> AND THE IMPORTANCE OF HAVING COMMUNITY VOICES IN THESE PROCESSES]</w:t>
      </w:r>
      <w:r w:rsidRPr="004528EB">
        <w:t xml:space="preserve">. </w:t>
      </w:r>
    </w:p>
    <w:p w14:paraId="08033A63" w14:textId="77777777" w:rsidR="0019614D" w:rsidRPr="004528EB" w:rsidRDefault="0019614D" w:rsidP="0019614D"/>
    <w:p w14:paraId="0548058D" w14:textId="4C16C238" w:rsidR="00BC57CE" w:rsidRPr="004528EB" w:rsidRDefault="00CB6A9F" w:rsidP="002026BA">
      <w:r w:rsidRPr="004528EB">
        <w:t>C</w:t>
      </w:r>
      <w:r w:rsidR="0031702C" w:rsidRPr="004528EB">
        <w:t xml:space="preserve">ommunity participation </w:t>
      </w:r>
      <w:r w:rsidRPr="004528EB">
        <w:t>that focuses on fair housing issues must remain</w:t>
      </w:r>
      <w:r w:rsidR="0031702C" w:rsidRPr="004528EB">
        <w:t xml:space="preserve"> distinct from </w:t>
      </w:r>
      <w:r w:rsidRPr="004528EB">
        <w:t xml:space="preserve">community participation requirements in other planning processes. </w:t>
      </w:r>
      <w:r w:rsidR="00D43FBC" w:rsidRPr="004528EB">
        <w:t xml:space="preserve">Otherwise, </w:t>
      </w:r>
      <w:r w:rsidR="00BB1BE1">
        <w:t>jurisdictions and PHAs w</w:t>
      </w:r>
      <w:r w:rsidR="00D43FBC" w:rsidRPr="004528EB">
        <w:t>ill</w:t>
      </w:r>
      <w:r w:rsidR="003E7EAD">
        <w:t xml:space="preserve"> likely</w:t>
      </w:r>
      <w:r w:rsidR="00D43FBC" w:rsidRPr="004528EB">
        <w:t xml:space="preserve"> fail to </w:t>
      </w:r>
      <w:r w:rsidR="003E7EAD">
        <w:t>adequately analyze</w:t>
      </w:r>
      <w:r w:rsidR="00A530A2" w:rsidRPr="004528EB">
        <w:t xml:space="preserve"> </w:t>
      </w:r>
      <w:r w:rsidR="00FC76E1">
        <w:t xml:space="preserve">and adjust </w:t>
      </w:r>
      <w:r w:rsidR="00A530A2" w:rsidRPr="004528EB">
        <w:t>policies and practices that create or perpetuate discriminatory housing practices</w:t>
      </w:r>
      <w:r w:rsidR="003A36DE" w:rsidRPr="004528EB">
        <w:t xml:space="preserve">. </w:t>
      </w:r>
      <w:r w:rsidR="00B52690" w:rsidRPr="004528EB">
        <w:t>We support the 2015 Rule’s approach to community engagemen</w:t>
      </w:r>
      <w:r w:rsidR="00BB1BE1">
        <w:t>t</w:t>
      </w:r>
      <w:r w:rsidR="00B52690" w:rsidRPr="004528EB">
        <w:t xml:space="preserve"> </w:t>
      </w:r>
      <w:r w:rsidR="00BB1BE1">
        <w:t xml:space="preserve">because </w:t>
      </w:r>
      <w:r w:rsidR="00B52690" w:rsidRPr="004528EB">
        <w:t xml:space="preserve">important </w:t>
      </w:r>
      <w:r w:rsidR="00BB1BE1">
        <w:t>i</w:t>
      </w:r>
      <w:r w:rsidR="00B52690" w:rsidRPr="004528EB">
        <w:t>ssues regarding housing discrimination</w:t>
      </w:r>
      <w:r w:rsidR="00BB1BE1">
        <w:t xml:space="preserve"> must</w:t>
      </w:r>
      <w:r w:rsidR="00B52690" w:rsidRPr="004528EB">
        <w:t xml:space="preserve"> receive due consideration</w:t>
      </w:r>
      <w:r w:rsidR="00C41075">
        <w:t>.</w:t>
      </w:r>
    </w:p>
    <w:p w14:paraId="05BC800C" w14:textId="77777777" w:rsidR="00082392" w:rsidRPr="004528EB" w:rsidRDefault="00082392" w:rsidP="002026BA">
      <w:pPr>
        <w:rPr>
          <w:b/>
        </w:rPr>
      </w:pPr>
    </w:p>
    <w:p w14:paraId="4277FEA8" w14:textId="2025B93C" w:rsidR="00082392" w:rsidRPr="004528EB" w:rsidRDefault="00A26134" w:rsidP="00A26134">
      <w:pPr>
        <w:ind w:left="720" w:hanging="720"/>
        <w:rPr>
          <w:b/>
        </w:rPr>
      </w:pPr>
      <w:r w:rsidRPr="004528EB">
        <w:rPr>
          <w:b/>
        </w:rPr>
        <w:t>C.</w:t>
      </w:r>
      <w:r w:rsidRPr="004528EB">
        <w:rPr>
          <w:b/>
        </w:rPr>
        <w:tab/>
      </w:r>
      <w:r w:rsidR="0073057C" w:rsidRPr="004528EB">
        <w:rPr>
          <w:b/>
        </w:rPr>
        <w:t>HUD</w:t>
      </w:r>
      <w:r w:rsidR="0041320F" w:rsidRPr="004528EB">
        <w:rPr>
          <w:b/>
        </w:rPr>
        <w:t xml:space="preserve">’s Approach Declares </w:t>
      </w:r>
      <w:r w:rsidR="00A54F23" w:rsidRPr="004528EB">
        <w:rPr>
          <w:b/>
        </w:rPr>
        <w:t>Local</w:t>
      </w:r>
      <w:r w:rsidR="0073057C" w:rsidRPr="004528EB">
        <w:rPr>
          <w:b/>
        </w:rPr>
        <w:t xml:space="preserve"> Protections as Inherent Fair Housing Barriers </w:t>
      </w:r>
      <w:r w:rsidR="007046A5">
        <w:rPr>
          <w:b/>
        </w:rPr>
        <w:t>w</w:t>
      </w:r>
      <w:r w:rsidR="0073057C" w:rsidRPr="004528EB">
        <w:rPr>
          <w:b/>
        </w:rPr>
        <w:t>ithout Explanation or</w:t>
      </w:r>
      <w:r w:rsidR="00577C7D" w:rsidRPr="004528EB">
        <w:rPr>
          <w:b/>
        </w:rPr>
        <w:t xml:space="preserve"> Local</w:t>
      </w:r>
      <w:r w:rsidR="0073057C" w:rsidRPr="004528EB">
        <w:rPr>
          <w:b/>
        </w:rPr>
        <w:t xml:space="preserve"> Context</w:t>
      </w:r>
      <w:r w:rsidR="00A54F23" w:rsidRPr="004528EB">
        <w:rPr>
          <w:b/>
        </w:rPr>
        <w:t xml:space="preserve"> </w:t>
      </w:r>
    </w:p>
    <w:p w14:paraId="6B7FB55F" w14:textId="1D5DF1BB" w:rsidR="006B545F" w:rsidRPr="004528EB" w:rsidRDefault="006B545F" w:rsidP="00A26134">
      <w:pPr>
        <w:ind w:left="720" w:hanging="720"/>
        <w:rPr>
          <w:b/>
        </w:rPr>
      </w:pPr>
    </w:p>
    <w:p w14:paraId="66FC745F" w14:textId="2602734E" w:rsidR="007F141E" w:rsidRDefault="002718A7" w:rsidP="002026BA">
      <w:r w:rsidRPr="004528EB">
        <w:t>In addition to opposing the Proposed Rule’s approach to goal-setting generally, we also strongly oppose</w:t>
      </w:r>
      <w:r w:rsidR="000D19E2">
        <w:t xml:space="preserve"> HUD’s proposal to designate --</w:t>
      </w:r>
      <w:r w:rsidR="00117915" w:rsidRPr="004528EB">
        <w:t xml:space="preserve"> without explanation or context</w:t>
      </w:r>
      <w:r w:rsidR="000D19E2">
        <w:t xml:space="preserve"> --</w:t>
      </w:r>
      <w:r w:rsidR="0035135E" w:rsidRPr="004528EB">
        <w:t xml:space="preserve"> certain</w:t>
      </w:r>
      <w:r w:rsidR="003E7657" w:rsidRPr="004528EB">
        <w:t xml:space="preserve"> local</w:t>
      </w:r>
      <w:r w:rsidR="0035135E" w:rsidRPr="004528EB">
        <w:t xml:space="preserve">ly adopted </w:t>
      </w:r>
      <w:r w:rsidR="00DD5D40">
        <w:t xml:space="preserve">resident </w:t>
      </w:r>
      <w:r w:rsidR="003E7657" w:rsidRPr="004528EB">
        <w:t>protections as “inherent barriers to fair housing choice.”</w:t>
      </w:r>
      <w:r w:rsidR="003E7657" w:rsidRPr="004528EB">
        <w:rPr>
          <w:rStyle w:val="FootnoteReference"/>
        </w:rPr>
        <w:footnoteReference w:id="6"/>
      </w:r>
      <w:r w:rsidR="003B3BDE" w:rsidRPr="004528EB">
        <w:t xml:space="preserve"> Among these “inherent barriers” </w:t>
      </w:r>
      <w:r w:rsidR="007046A5">
        <w:t>are</w:t>
      </w:r>
      <w:r w:rsidR="003B3BDE" w:rsidRPr="004528EB">
        <w:t xml:space="preserve"> “certain types of rent control,”</w:t>
      </w:r>
      <w:r w:rsidR="007C4E3E" w:rsidRPr="004528EB">
        <w:rPr>
          <w:rStyle w:val="FootnoteReference"/>
        </w:rPr>
        <w:footnoteReference w:id="7"/>
      </w:r>
      <w:r w:rsidR="003B3BDE" w:rsidRPr="004528EB">
        <w:t xml:space="preserve"> “</w:t>
      </w:r>
      <w:r w:rsidR="006A2831">
        <w:t>[</w:t>
      </w:r>
      <w:r w:rsidR="003B3BDE" w:rsidRPr="004528EB">
        <w:t>a</w:t>
      </w:r>
      <w:r w:rsidR="006A2831">
        <w:t>]</w:t>
      </w:r>
      <w:r w:rsidR="003B3BDE" w:rsidRPr="004528EB">
        <w:t xml:space="preserve">rbitrary </w:t>
      </w:r>
      <w:r w:rsidR="007C4E3E">
        <w:t>or</w:t>
      </w:r>
      <w:r w:rsidR="003B3BDE" w:rsidRPr="004528EB">
        <w:t xml:space="preserve"> unnecessary labor requirements,” and “</w:t>
      </w:r>
      <w:r w:rsidR="006A2831">
        <w:t>[</w:t>
      </w:r>
      <w:r w:rsidR="003B3BDE" w:rsidRPr="004528EB">
        <w:t>u</w:t>
      </w:r>
      <w:r w:rsidR="006A2831">
        <w:t>]</w:t>
      </w:r>
      <w:r w:rsidR="003B3BDE" w:rsidRPr="004528EB">
        <w:t xml:space="preserve">nduly burdensome </w:t>
      </w:r>
      <w:r w:rsidR="00FC6458" w:rsidRPr="004528EB">
        <w:t>wetland or environmental regulations.”</w:t>
      </w:r>
      <w:r w:rsidR="00184066" w:rsidRPr="004528EB">
        <w:t xml:space="preserve"> </w:t>
      </w:r>
      <w:r w:rsidR="007F141E">
        <w:t>These</w:t>
      </w:r>
      <w:r w:rsidR="00184066" w:rsidRPr="004528EB">
        <w:t xml:space="preserve"> designations </w:t>
      </w:r>
      <w:r w:rsidR="007F141E">
        <w:t xml:space="preserve">in particular </w:t>
      </w:r>
      <w:r w:rsidR="00184066" w:rsidRPr="004528EB">
        <w:t xml:space="preserve">appear to be part </w:t>
      </w:r>
      <w:r w:rsidR="00EB2066" w:rsidRPr="004528EB">
        <w:t xml:space="preserve">of advancing the </w:t>
      </w:r>
      <w:r w:rsidR="00184066" w:rsidRPr="004528EB">
        <w:t>Administration’s overarching deregulatory agenda</w:t>
      </w:r>
      <w:r w:rsidR="00EB2066" w:rsidRPr="004528EB">
        <w:t xml:space="preserve">, and not about increasing affordable housing opportunities for members of protected </w:t>
      </w:r>
      <w:r w:rsidR="00EB2066" w:rsidRPr="004528EB">
        <w:lastRenderedPageBreak/>
        <w:t>classes.</w:t>
      </w:r>
      <w:r w:rsidR="005F2834" w:rsidRPr="004528EB">
        <w:t xml:space="preserve"> </w:t>
      </w:r>
      <w:r w:rsidR="00D459D3">
        <w:t xml:space="preserve">Furthermore, </w:t>
      </w:r>
      <w:r w:rsidR="00FC6458" w:rsidRPr="004528EB">
        <w:t xml:space="preserve">HUD </w:t>
      </w:r>
      <w:r w:rsidR="00762978" w:rsidRPr="004528EB">
        <w:t>fails to define key terms</w:t>
      </w:r>
      <w:r w:rsidR="004C51D7" w:rsidRPr="004528EB">
        <w:t xml:space="preserve"> (e.g., </w:t>
      </w:r>
      <w:r w:rsidR="0035135E" w:rsidRPr="004528EB">
        <w:t>“</w:t>
      </w:r>
      <w:r w:rsidR="004C51D7" w:rsidRPr="004528EB">
        <w:t>labor requirements</w:t>
      </w:r>
      <w:r w:rsidR="0035135E" w:rsidRPr="004528EB">
        <w:t>”</w:t>
      </w:r>
      <w:r w:rsidR="004C51D7" w:rsidRPr="004528EB">
        <w:t xml:space="preserve">), and </w:t>
      </w:r>
      <w:r w:rsidR="00637307" w:rsidRPr="004528EB">
        <w:t>includes terms that are inherently subjective (“unnecessary</w:t>
      </w:r>
      <w:r w:rsidR="0035135E" w:rsidRPr="004528EB">
        <w:t>,” “unduly burdensome</w:t>
      </w:r>
      <w:r w:rsidR="00023E08" w:rsidRPr="004528EB">
        <w:t>”</w:t>
      </w:r>
      <w:r w:rsidR="0035135E" w:rsidRPr="004528EB">
        <w:t>).</w:t>
      </w:r>
      <w:r w:rsidR="009675EF" w:rsidRPr="004528EB">
        <w:t xml:space="preserve"> </w:t>
      </w:r>
    </w:p>
    <w:p w14:paraId="44B6ED5B" w14:textId="77777777" w:rsidR="007F141E" w:rsidRDefault="007F141E" w:rsidP="002026BA"/>
    <w:p w14:paraId="54E12D9A" w14:textId="76096D15" w:rsidR="005F2834" w:rsidRPr="004528EB" w:rsidRDefault="009675EF" w:rsidP="002026BA">
      <w:r w:rsidRPr="004528EB">
        <w:t xml:space="preserve">While </w:t>
      </w:r>
      <w:r w:rsidR="00023E08" w:rsidRPr="004528EB">
        <w:t xml:space="preserve">jurisdictions are not required to select HUD’s pre-selected sixteen </w:t>
      </w:r>
      <w:r w:rsidRPr="004528EB">
        <w:t>“inherent barriers</w:t>
      </w:r>
      <w:r w:rsidR="00023E08" w:rsidRPr="004528EB">
        <w:t>,</w:t>
      </w:r>
      <w:r w:rsidRPr="004528EB">
        <w:t>”</w:t>
      </w:r>
      <w:r w:rsidR="00023E08" w:rsidRPr="004528EB">
        <w:t xml:space="preserve"> it is clear that many jurisdictions will be incentivized to do so</w:t>
      </w:r>
      <w:r w:rsidR="003B72E1" w:rsidRPr="004528EB">
        <w:t xml:space="preserve"> because</w:t>
      </w:r>
      <w:r w:rsidR="00023E08" w:rsidRPr="004528EB">
        <w:t xml:space="preserve"> no additional explanation</w:t>
      </w:r>
      <w:r w:rsidR="00DD5D40">
        <w:t xml:space="preserve"> is</w:t>
      </w:r>
      <w:r w:rsidR="00023E08" w:rsidRPr="004528EB">
        <w:t xml:space="preserve"> required when one of the </w:t>
      </w:r>
      <w:r w:rsidR="00FC469B" w:rsidRPr="004528EB">
        <w:t>pre-selected “barriers” is chosen by a jurisdiction.</w:t>
      </w:r>
      <w:r w:rsidR="003B72E1" w:rsidRPr="004528EB">
        <w:rPr>
          <w:rStyle w:val="FootnoteReference"/>
        </w:rPr>
        <w:footnoteReference w:id="8"/>
      </w:r>
      <w:r w:rsidR="00FC469B" w:rsidRPr="004528EB">
        <w:t xml:space="preserve"> </w:t>
      </w:r>
      <w:r w:rsidR="007F141E">
        <w:t>This will leave local residents without any explanation as to how certain goals would address fair housing issues in their communities</w:t>
      </w:r>
      <w:r w:rsidR="00E9403E">
        <w:t xml:space="preserve"> and in response to local circumstances</w:t>
      </w:r>
      <w:r w:rsidR="007F141E">
        <w:t>.</w:t>
      </w:r>
    </w:p>
    <w:p w14:paraId="6DDD1EB4" w14:textId="77777777" w:rsidR="002D3C67" w:rsidRPr="004528EB" w:rsidRDefault="002D3C67" w:rsidP="002026BA"/>
    <w:p w14:paraId="457B940D" w14:textId="77777777" w:rsidR="003C7ACC" w:rsidRPr="004528EB" w:rsidRDefault="002D3C67" w:rsidP="002026BA">
      <w:pPr>
        <w:rPr>
          <w:highlight w:val="yellow"/>
        </w:rPr>
      </w:pPr>
      <w:r w:rsidRPr="004528EB">
        <w:rPr>
          <w:highlight w:val="yellow"/>
        </w:rPr>
        <w:t xml:space="preserve">[INSERT A FEW LINES ABOUT HOW RENT CAPS/LABOR </w:t>
      </w:r>
    </w:p>
    <w:p w14:paraId="4220A20E" w14:textId="30FBC32E" w:rsidR="005F2834" w:rsidRPr="004528EB" w:rsidRDefault="002D3C67" w:rsidP="002026BA">
      <w:r w:rsidRPr="004528EB">
        <w:rPr>
          <w:highlight w:val="yellow"/>
        </w:rPr>
        <w:t>PROTECTIONS/ENVIRONMENTAL PROVIDE BENEFITS TO CLIENTS/ RESIDENTS]</w:t>
      </w:r>
      <w:r w:rsidRPr="004528EB">
        <w:t>.</w:t>
      </w:r>
    </w:p>
    <w:p w14:paraId="58F8CBC4" w14:textId="77777777" w:rsidR="003C7ACC" w:rsidRPr="004528EB" w:rsidRDefault="003C7ACC" w:rsidP="002026BA"/>
    <w:p w14:paraId="787DA481" w14:textId="17B3B0A5" w:rsidR="00082392" w:rsidRPr="004528EB" w:rsidRDefault="005F3172" w:rsidP="002026BA">
      <w:r>
        <w:t>Local laws and policies should instead be examined in their proper local context</w:t>
      </w:r>
      <w:r w:rsidR="004E38BC">
        <w:t>.</w:t>
      </w:r>
      <w:r>
        <w:t xml:space="preserve"> For example, rent stabilization laws in a particular community may help prevent </w:t>
      </w:r>
      <w:r w:rsidR="00094109">
        <w:t xml:space="preserve">the displacement of communities of color or persons with disabilities. </w:t>
      </w:r>
      <w:r w:rsidR="00EC3392">
        <w:t xml:space="preserve">We reject HUD’s approach of </w:t>
      </w:r>
      <w:r w:rsidR="00094109" w:rsidRPr="004528EB">
        <w:t>designating locally adopted resident protections as “inherent” barriers to fair housing choice</w:t>
      </w:r>
      <w:r w:rsidR="00EC3392">
        <w:t>.</w:t>
      </w:r>
      <w:r w:rsidR="00094109">
        <w:t xml:space="preserve"> </w:t>
      </w:r>
      <w:r w:rsidR="004E38BC">
        <w:t xml:space="preserve">Instead, HUD should instead continue implementing the 2015 AFFH Rule, which takes the general approach of examining fair housing issues, contributing factors, and fair housing goals </w:t>
      </w:r>
      <w:r w:rsidR="00980139">
        <w:t>withi</w:t>
      </w:r>
      <w:r w:rsidR="004E38BC">
        <w:t>n lo</w:t>
      </w:r>
      <w:r w:rsidR="00980139">
        <w:t>cal context and with the benefit of strong</w:t>
      </w:r>
      <w:r w:rsidR="004E38BC">
        <w:t xml:space="preserve"> local community engagement.</w:t>
      </w:r>
    </w:p>
    <w:p w14:paraId="4F092FED" w14:textId="77777777" w:rsidR="003C7ACC" w:rsidRPr="004528EB" w:rsidRDefault="003C7ACC" w:rsidP="002026BA"/>
    <w:p w14:paraId="7966B7BF" w14:textId="2A4A6131" w:rsidR="00103638" w:rsidRPr="004528EB" w:rsidRDefault="006B545F" w:rsidP="006B545F">
      <w:pPr>
        <w:ind w:left="720" w:hanging="720"/>
        <w:rPr>
          <w:b/>
        </w:rPr>
      </w:pPr>
      <w:r w:rsidRPr="004528EB">
        <w:rPr>
          <w:b/>
        </w:rPr>
        <w:t>D.</w:t>
      </w:r>
      <w:r w:rsidRPr="004528EB">
        <w:rPr>
          <w:b/>
        </w:rPr>
        <w:tab/>
        <w:t>HUD’S Proposed Rule Ignores the Important Role of PHAs in Expanding Housing Opportunities for Members of Protected Classes</w:t>
      </w:r>
    </w:p>
    <w:p w14:paraId="2314BBBF" w14:textId="6332ADF9" w:rsidR="007B6BD9" w:rsidRPr="004528EB" w:rsidRDefault="007B6BD9" w:rsidP="002026BA">
      <w:pPr>
        <w:rPr>
          <w:b/>
        </w:rPr>
      </w:pPr>
    </w:p>
    <w:p w14:paraId="74630542" w14:textId="07087EC4" w:rsidR="006B3B6C" w:rsidRPr="004528EB" w:rsidRDefault="003C7ACC" w:rsidP="002026BA">
      <w:pPr>
        <w:rPr>
          <w:bCs/>
        </w:rPr>
      </w:pPr>
      <w:r w:rsidRPr="004528EB">
        <w:rPr>
          <w:bCs/>
        </w:rPr>
        <w:t xml:space="preserve">PHAs play a critical role in providing housing opportunities to members of protected classes. </w:t>
      </w:r>
      <w:r w:rsidR="00D8111C" w:rsidRPr="004528EB">
        <w:rPr>
          <w:bCs/>
          <w:highlight w:val="yellow"/>
        </w:rPr>
        <w:t>[INSERT A FEW LINES ABOUT HOW CLIENTS ARE SERVED BY PHA PROGRAMS]</w:t>
      </w:r>
      <w:r w:rsidR="00D8111C" w:rsidRPr="004528EB">
        <w:rPr>
          <w:bCs/>
        </w:rPr>
        <w:t xml:space="preserve">  </w:t>
      </w:r>
      <w:r w:rsidRPr="004528EB">
        <w:rPr>
          <w:bCs/>
        </w:rPr>
        <w:t xml:space="preserve">The 2015 AFFH Rule rightly </w:t>
      </w:r>
      <w:r w:rsidR="00AF49C1" w:rsidRPr="004528EB">
        <w:rPr>
          <w:bCs/>
        </w:rPr>
        <w:t>requires</w:t>
      </w:r>
      <w:r w:rsidRPr="004528EB">
        <w:rPr>
          <w:bCs/>
        </w:rPr>
        <w:t xml:space="preserve"> PHAs </w:t>
      </w:r>
      <w:r w:rsidR="007046A5">
        <w:rPr>
          <w:bCs/>
        </w:rPr>
        <w:t xml:space="preserve">to </w:t>
      </w:r>
      <w:r w:rsidR="00AF49C1" w:rsidRPr="004528EB">
        <w:rPr>
          <w:bCs/>
        </w:rPr>
        <w:t xml:space="preserve">conduct a fair housing assessment </w:t>
      </w:r>
      <w:r w:rsidRPr="004528EB">
        <w:rPr>
          <w:bCs/>
        </w:rPr>
        <w:t xml:space="preserve">to determine the extent to which their policies and practices were consistent with the PHA’s overall </w:t>
      </w:r>
      <w:r w:rsidR="00772491">
        <w:rPr>
          <w:bCs/>
        </w:rPr>
        <w:t xml:space="preserve">AFFH </w:t>
      </w:r>
      <w:r w:rsidRPr="004528EB">
        <w:rPr>
          <w:bCs/>
        </w:rPr>
        <w:t xml:space="preserve">obligation. </w:t>
      </w:r>
      <w:r w:rsidR="00AF49C1" w:rsidRPr="004528EB">
        <w:rPr>
          <w:bCs/>
        </w:rPr>
        <w:t xml:space="preserve">Furthermore, the 2015 Rule requires that PHAs devise goals to address identified fair housing issues and contributing factors. </w:t>
      </w:r>
      <w:r w:rsidR="00E24D50" w:rsidRPr="004528EB">
        <w:rPr>
          <w:bCs/>
        </w:rPr>
        <w:t>Under the Proposed Rule,</w:t>
      </w:r>
      <w:r w:rsidR="004851AA" w:rsidRPr="004528EB">
        <w:rPr>
          <w:bCs/>
        </w:rPr>
        <w:t xml:space="preserve"> PHAs are not required to undertake a meaningful fair housing analysis </w:t>
      </w:r>
      <w:r w:rsidR="006F003B" w:rsidRPr="004528EB">
        <w:rPr>
          <w:bCs/>
        </w:rPr>
        <w:t>to be submitted to</w:t>
      </w:r>
      <w:r w:rsidR="004851AA" w:rsidRPr="004528EB">
        <w:rPr>
          <w:bCs/>
        </w:rPr>
        <w:t xml:space="preserve"> HUD, nor </w:t>
      </w:r>
      <w:r w:rsidR="007046A5">
        <w:rPr>
          <w:bCs/>
        </w:rPr>
        <w:t xml:space="preserve">are they </w:t>
      </w:r>
      <w:r w:rsidR="004851AA" w:rsidRPr="004528EB">
        <w:rPr>
          <w:bCs/>
        </w:rPr>
        <w:t>required to devise goals and strategies to combat segregation and housing discrimination</w:t>
      </w:r>
      <w:r w:rsidR="006F003B" w:rsidRPr="004528EB">
        <w:rPr>
          <w:bCs/>
        </w:rPr>
        <w:t xml:space="preserve">. </w:t>
      </w:r>
    </w:p>
    <w:p w14:paraId="0D3413EA" w14:textId="77777777" w:rsidR="006B3B6C" w:rsidRPr="004528EB" w:rsidRDefault="006B3B6C" w:rsidP="002026BA">
      <w:pPr>
        <w:rPr>
          <w:bCs/>
        </w:rPr>
      </w:pPr>
    </w:p>
    <w:p w14:paraId="6D75D8A5" w14:textId="005B11E4" w:rsidR="004851AA" w:rsidRPr="004528EB" w:rsidRDefault="00495E14" w:rsidP="002026BA">
      <w:pPr>
        <w:rPr>
          <w:bCs/>
        </w:rPr>
      </w:pPr>
      <w:r w:rsidRPr="004528EB">
        <w:rPr>
          <w:bCs/>
        </w:rPr>
        <w:t xml:space="preserve">The proposed changes disregard how PHA policies and practices impact the ability of PHA program participants to access and maintain housing opportunities – including members of protected classes. </w:t>
      </w:r>
      <w:r w:rsidR="006B3B6C" w:rsidRPr="004528EB">
        <w:rPr>
          <w:bCs/>
        </w:rPr>
        <w:t>H</w:t>
      </w:r>
      <w:r w:rsidRPr="004528EB">
        <w:rPr>
          <w:bCs/>
        </w:rPr>
        <w:t>ousing authorities</w:t>
      </w:r>
      <w:r w:rsidR="00261487" w:rsidRPr="004528EB">
        <w:rPr>
          <w:bCs/>
        </w:rPr>
        <w:t xml:space="preserve"> set </w:t>
      </w:r>
      <w:r w:rsidR="00814320" w:rsidRPr="004528EB">
        <w:rPr>
          <w:bCs/>
        </w:rPr>
        <w:t xml:space="preserve">Voucher </w:t>
      </w:r>
      <w:r w:rsidR="00261487" w:rsidRPr="004528EB">
        <w:rPr>
          <w:bCs/>
        </w:rPr>
        <w:t xml:space="preserve">payment standards, evaluate reasonable accommodation requests, adopt admissions preferences, serve limited English proficient </w:t>
      </w:r>
      <w:r w:rsidR="00261487" w:rsidRPr="004528EB">
        <w:rPr>
          <w:bCs/>
        </w:rPr>
        <w:t xml:space="preserve">individuals and families, and </w:t>
      </w:r>
      <w:r w:rsidR="00814320" w:rsidRPr="004528EB">
        <w:rPr>
          <w:bCs/>
        </w:rPr>
        <w:t xml:space="preserve">serve survivors of domestic and sexual violence – among many other functions. </w:t>
      </w:r>
      <w:r w:rsidR="00B81C8E" w:rsidRPr="004528EB">
        <w:rPr>
          <w:bCs/>
        </w:rPr>
        <w:t xml:space="preserve">Such </w:t>
      </w:r>
      <w:r w:rsidR="00814320" w:rsidRPr="004528EB">
        <w:rPr>
          <w:bCs/>
        </w:rPr>
        <w:t>decisions</w:t>
      </w:r>
      <w:r w:rsidR="008C44F9" w:rsidRPr="004528EB">
        <w:rPr>
          <w:bCs/>
        </w:rPr>
        <w:t xml:space="preserve"> and policies</w:t>
      </w:r>
      <w:r w:rsidR="00814320" w:rsidRPr="004528EB">
        <w:rPr>
          <w:bCs/>
        </w:rPr>
        <w:t xml:space="preserve">, and how </w:t>
      </w:r>
      <w:r w:rsidR="005536BB" w:rsidRPr="004528EB">
        <w:rPr>
          <w:bCs/>
        </w:rPr>
        <w:t>the</w:t>
      </w:r>
      <w:r w:rsidR="006B3B6C" w:rsidRPr="004528EB">
        <w:rPr>
          <w:bCs/>
        </w:rPr>
        <w:t xml:space="preserve"> public housing and the Housing Choice Voucher program</w:t>
      </w:r>
      <w:r w:rsidR="005536BB" w:rsidRPr="004528EB">
        <w:rPr>
          <w:bCs/>
        </w:rPr>
        <w:t>s</w:t>
      </w:r>
      <w:r w:rsidR="006B3B6C" w:rsidRPr="004528EB">
        <w:rPr>
          <w:bCs/>
        </w:rPr>
        <w:t xml:space="preserve"> are administered</w:t>
      </w:r>
      <w:r w:rsidR="008C44F9" w:rsidRPr="004528EB">
        <w:rPr>
          <w:bCs/>
        </w:rPr>
        <w:t>,</w:t>
      </w:r>
      <w:r w:rsidR="006B3B6C" w:rsidRPr="004528EB">
        <w:rPr>
          <w:bCs/>
        </w:rPr>
        <w:t xml:space="preserve"> directly affect participating families</w:t>
      </w:r>
      <w:r w:rsidR="00B81C8E" w:rsidRPr="004528EB">
        <w:rPr>
          <w:bCs/>
        </w:rPr>
        <w:t xml:space="preserve">, including </w:t>
      </w:r>
      <w:r w:rsidR="005536BB" w:rsidRPr="004528EB">
        <w:rPr>
          <w:bCs/>
        </w:rPr>
        <w:t>members of protected classes.</w:t>
      </w:r>
      <w:r w:rsidR="00B81C8E" w:rsidRPr="004528EB">
        <w:rPr>
          <w:bCs/>
        </w:rPr>
        <w:t xml:space="preserve"> </w:t>
      </w:r>
      <w:r w:rsidR="005036E5" w:rsidRPr="004528EB">
        <w:rPr>
          <w:bCs/>
        </w:rPr>
        <w:t xml:space="preserve">HUD’s proposal simply discounts the importance of </w:t>
      </w:r>
      <w:r w:rsidR="00B81C8E" w:rsidRPr="004528EB">
        <w:rPr>
          <w:bCs/>
        </w:rPr>
        <w:t xml:space="preserve">these </w:t>
      </w:r>
      <w:r w:rsidR="005536BB" w:rsidRPr="004528EB">
        <w:rPr>
          <w:bCs/>
        </w:rPr>
        <w:t>PHA policies</w:t>
      </w:r>
      <w:r w:rsidR="00B81C8E" w:rsidRPr="004528EB">
        <w:rPr>
          <w:bCs/>
        </w:rPr>
        <w:t xml:space="preserve">. These proposed changes are unacceptable. </w:t>
      </w:r>
    </w:p>
    <w:p w14:paraId="2BB7C34F" w14:textId="77777777" w:rsidR="004851AA" w:rsidRPr="004528EB" w:rsidRDefault="004851AA" w:rsidP="002026BA">
      <w:pPr>
        <w:rPr>
          <w:bCs/>
        </w:rPr>
      </w:pPr>
    </w:p>
    <w:p w14:paraId="182AEE4D" w14:textId="2D13A188" w:rsidR="004851AA" w:rsidRPr="004528EB" w:rsidRDefault="00D8111C" w:rsidP="00D8111C">
      <w:pPr>
        <w:jc w:val="center"/>
        <w:rPr>
          <w:bCs/>
        </w:rPr>
      </w:pPr>
      <w:r w:rsidRPr="004528EB">
        <w:rPr>
          <w:bCs/>
        </w:rPr>
        <w:t>*  *  *</w:t>
      </w:r>
    </w:p>
    <w:p w14:paraId="68193433" w14:textId="77777777" w:rsidR="00AF49C1" w:rsidRPr="004528EB" w:rsidRDefault="00AF49C1" w:rsidP="002026BA">
      <w:pPr>
        <w:rPr>
          <w:bCs/>
        </w:rPr>
      </w:pPr>
    </w:p>
    <w:p w14:paraId="2C92BFF7" w14:textId="7EF8577E" w:rsidR="00D8111C" w:rsidRPr="004528EB" w:rsidRDefault="00D8111C" w:rsidP="00D8111C">
      <w:r w:rsidRPr="004528EB">
        <w:t>In closing, we reiterate our strong support for HUD’s 2015 AFFH Rule and strongly oppose HUD’s proposed replacement of th</w:t>
      </w:r>
      <w:r w:rsidR="00557BFE">
        <w:t>e 2015</w:t>
      </w:r>
      <w:r w:rsidRPr="004528EB">
        <w:t xml:space="preserve"> </w:t>
      </w:r>
      <w:r w:rsidR="00557BFE">
        <w:t>R</w:t>
      </w:r>
      <w:r w:rsidRPr="004528EB">
        <w:t xml:space="preserve">ule. </w:t>
      </w:r>
    </w:p>
    <w:p w14:paraId="3A519253" w14:textId="77777777" w:rsidR="00D8111C" w:rsidRPr="004528EB" w:rsidRDefault="00D8111C" w:rsidP="00D8111C"/>
    <w:p w14:paraId="0AA2F757" w14:textId="77777777" w:rsidR="00D8111C" w:rsidRPr="004528EB" w:rsidRDefault="00D8111C" w:rsidP="00D8111C">
      <w:r w:rsidRPr="004528EB">
        <w:rPr>
          <w:highlight w:val="yellow"/>
        </w:rPr>
        <w:t>[OPTIONAL - IF YOUR ORGANIZATION PARTICIPATED IN THE AFH PROCESS]</w:t>
      </w:r>
    </w:p>
    <w:p w14:paraId="28F7789C" w14:textId="77777777" w:rsidR="00D8111C" w:rsidRPr="004528EB" w:rsidRDefault="00D8111C" w:rsidP="00D8111C">
      <w:r w:rsidRPr="004528EB">
        <w:t xml:space="preserve"> </w:t>
      </w:r>
    </w:p>
    <w:p w14:paraId="38613B99" w14:textId="6DC67832" w:rsidR="00D8111C" w:rsidRPr="004528EB" w:rsidRDefault="00D8111C" w:rsidP="00D8111C">
      <w:r w:rsidRPr="004528EB">
        <w:lastRenderedPageBreak/>
        <w:t>Our organization participated in the AFH process in [</w:t>
      </w:r>
      <w:r w:rsidRPr="004528EB">
        <w:rPr>
          <w:highlight w:val="yellow"/>
        </w:rPr>
        <w:t>CITY/COUNTY/REGION</w:t>
      </w:r>
      <w:r w:rsidRPr="004528EB">
        <w:t>]. [</w:t>
      </w:r>
      <w:r w:rsidRPr="004528EB">
        <w:rPr>
          <w:highlight w:val="yellow"/>
        </w:rPr>
        <w:t>INCLUDE 3-4 SENTENCES (OR MORE) TO DESCRIBE ASPECTS OF</w:t>
      </w:r>
      <w:bookmarkStart w:id="0" w:name="_GoBack"/>
      <w:bookmarkEnd w:id="0"/>
      <w:r w:rsidRPr="004528EB">
        <w:rPr>
          <w:highlight w:val="yellow"/>
        </w:rPr>
        <w:t xml:space="preserve"> THIS EXPERIENCE AND OUTCOMES. IF POSSIBLE, FOCUS ON COMMUNITY-BASED ENGAGEMENT AND OUTCOMES</w:t>
      </w:r>
      <w:r w:rsidRPr="004528EB">
        <w:t xml:space="preserve">]. </w:t>
      </w:r>
    </w:p>
    <w:p w14:paraId="450B6E19" w14:textId="77777777" w:rsidR="00D8111C" w:rsidRPr="004528EB" w:rsidRDefault="00D8111C" w:rsidP="00D8111C"/>
    <w:p w14:paraId="4DF48FDE" w14:textId="5FE08D73" w:rsidR="00D8111C" w:rsidRPr="004528EB" w:rsidRDefault="00D8111C" w:rsidP="00D8111C">
      <w:r w:rsidRPr="004528EB">
        <w:t xml:space="preserve">The 2015 AFFH Rule provides HUD program participants with much-needed guidance and direction. HUD must ensure that meaningful fair housing analysis, informed by data and community participation, as well as the goal-setting resulting from that analysis, continues. Instead of focusing </w:t>
      </w:r>
      <w:r w:rsidR="00FB2BB4" w:rsidRPr="004528EB">
        <w:t>agency</w:t>
      </w:r>
      <w:r w:rsidRPr="004528EB">
        <w:t xml:space="preserve"> resources on </w:t>
      </w:r>
      <w:r w:rsidR="00FB2BB4" w:rsidRPr="004528EB">
        <w:t xml:space="preserve">implementing </w:t>
      </w:r>
      <w:r w:rsidRPr="004528EB">
        <w:t xml:space="preserve">a new, </w:t>
      </w:r>
      <w:r w:rsidR="00630145">
        <w:t xml:space="preserve">substantially </w:t>
      </w:r>
      <w:r w:rsidRPr="004528EB">
        <w:t xml:space="preserve">less effective Rule, </w:t>
      </w:r>
      <w:r w:rsidR="00FB2BB4" w:rsidRPr="004528EB">
        <w:t>HUD</w:t>
      </w:r>
      <w:r w:rsidRPr="004528EB">
        <w:t xml:space="preserve"> should instead resume full implementation of the 2015 AFFH Rule.</w:t>
      </w:r>
    </w:p>
    <w:p w14:paraId="243A3374" w14:textId="77777777" w:rsidR="00D8111C" w:rsidRPr="004528EB" w:rsidRDefault="00D8111C" w:rsidP="00D8111C"/>
    <w:p w14:paraId="183EA4A8" w14:textId="26AF0DC7" w:rsidR="009279E2" w:rsidRPr="004528EB" w:rsidRDefault="00FB2BB4" w:rsidP="002026BA">
      <w:r w:rsidRPr="004528EB">
        <w:t>I</w:t>
      </w:r>
      <w:r w:rsidR="005A1525" w:rsidRPr="004528EB">
        <w:t xml:space="preserve">f you </w:t>
      </w:r>
      <w:r w:rsidR="00FD3B23" w:rsidRPr="004528EB">
        <w:t xml:space="preserve">have any questions, </w:t>
      </w:r>
      <w:r w:rsidR="005A1525" w:rsidRPr="004528EB">
        <w:t xml:space="preserve">please contact </w:t>
      </w:r>
      <w:r w:rsidR="005A1525" w:rsidRPr="004528EB">
        <w:rPr>
          <w:highlight w:val="yellow"/>
        </w:rPr>
        <w:t>[CONTACT PERSON AND INFORMATION FOR YOUR ORG</w:t>
      </w:r>
      <w:r w:rsidR="00D56916" w:rsidRPr="004528EB">
        <w:rPr>
          <w:highlight w:val="yellow"/>
        </w:rPr>
        <w:t>ANIZATION</w:t>
      </w:r>
      <w:r w:rsidR="005A1525" w:rsidRPr="004528EB">
        <w:t>].</w:t>
      </w:r>
    </w:p>
    <w:p w14:paraId="55B8BB80" w14:textId="77777777" w:rsidR="00FC3334" w:rsidRPr="004528EB" w:rsidRDefault="00FC3334" w:rsidP="006C7915"/>
    <w:p w14:paraId="2AFE0C9F" w14:textId="29DD7422" w:rsidR="00FC3334" w:rsidRPr="004528EB" w:rsidRDefault="00FC3334" w:rsidP="006C7915">
      <w:r w:rsidRPr="004528EB">
        <w:t>Sincerely,</w:t>
      </w:r>
    </w:p>
    <w:p w14:paraId="6F36F18C" w14:textId="77777777" w:rsidR="00FC3334" w:rsidRPr="004528EB" w:rsidRDefault="00FC3334" w:rsidP="006C7915"/>
    <w:p w14:paraId="2FBD01F6" w14:textId="723B7C74" w:rsidR="00FC3334" w:rsidRPr="004528EB" w:rsidRDefault="009D17E1" w:rsidP="006C7915">
      <w:pPr>
        <w:rPr>
          <w:highlight w:val="yellow"/>
        </w:rPr>
      </w:pPr>
      <w:r w:rsidRPr="004528EB">
        <w:rPr>
          <w:highlight w:val="yellow"/>
        </w:rPr>
        <w:t>[</w:t>
      </w:r>
      <w:r w:rsidR="00EC073D" w:rsidRPr="004528EB">
        <w:rPr>
          <w:highlight w:val="yellow"/>
        </w:rPr>
        <w:t>NAME]</w:t>
      </w:r>
    </w:p>
    <w:p w14:paraId="72536E72" w14:textId="05C0EF39" w:rsidR="00BD39F2" w:rsidRPr="004528EB" w:rsidRDefault="00BD39F2" w:rsidP="006C7915">
      <w:pPr>
        <w:rPr>
          <w:highlight w:val="yellow"/>
        </w:rPr>
      </w:pPr>
      <w:r w:rsidRPr="004528EB">
        <w:rPr>
          <w:highlight w:val="yellow"/>
        </w:rPr>
        <w:t>[ORGANIZATION]</w:t>
      </w:r>
    </w:p>
    <w:p w14:paraId="1547167B" w14:textId="77777777" w:rsidR="00A86C02" w:rsidRPr="004528EB" w:rsidRDefault="00A86C02" w:rsidP="006C7915">
      <w:pPr>
        <w:rPr>
          <w:highlight w:val="cyan"/>
        </w:rPr>
      </w:pPr>
    </w:p>
    <w:p w14:paraId="2D8EBA2D" w14:textId="45563713" w:rsidR="006C7915" w:rsidRPr="0019614D" w:rsidRDefault="006C7915" w:rsidP="006C7915">
      <w:pPr>
        <w:rPr>
          <w:b/>
          <w:sz w:val="22"/>
          <w:szCs w:val="22"/>
        </w:rPr>
      </w:pPr>
    </w:p>
    <w:sectPr w:rsidR="006C7915" w:rsidRPr="0019614D" w:rsidSect="00600C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7270D" w14:textId="77777777" w:rsidR="0082473C" w:rsidRDefault="0082473C" w:rsidP="001414C6">
      <w:r>
        <w:separator/>
      </w:r>
    </w:p>
  </w:endnote>
  <w:endnote w:type="continuationSeparator" w:id="0">
    <w:p w14:paraId="5AFC5E15" w14:textId="77777777" w:rsidR="0082473C" w:rsidRDefault="0082473C" w:rsidP="0014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08A99" w14:textId="77777777" w:rsidR="00EC7426" w:rsidRDefault="00EC7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52E96" w14:textId="77777777" w:rsidR="00EC7426" w:rsidRDefault="00EC74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AB35A" w14:textId="77777777" w:rsidR="00964534" w:rsidRPr="00EC7426" w:rsidRDefault="00964534" w:rsidP="00EC7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97D3E" w14:textId="77777777" w:rsidR="0082473C" w:rsidRDefault="0082473C" w:rsidP="001414C6">
      <w:r>
        <w:separator/>
      </w:r>
    </w:p>
  </w:footnote>
  <w:footnote w:type="continuationSeparator" w:id="0">
    <w:p w14:paraId="6E61CB12" w14:textId="77777777" w:rsidR="0082473C" w:rsidRDefault="0082473C" w:rsidP="001414C6">
      <w:r>
        <w:continuationSeparator/>
      </w:r>
    </w:p>
  </w:footnote>
  <w:footnote w:id="1">
    <w:p w14:paraId="3E4F499F" w14:textId="1D7019D4" w:rsidR="004A01B0" w:rsidRPr="005B45C1" w:rsidRDefault="004A01B0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5B45C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B45C1">
        <w:rPr>
          <w:rFonts w:ascii="Times New Roman" w:hAnsi="Times New Roman" w:cs="Times New Roman"/>
          <w:sz w:val="20"/>
          <w:szCs w:val="20"/>
        </w:rPr>
        <w:t xml:space="preserve"> </w:t>
      </w:r>
      <w:r w:rsidR="002B4DFB" w:rsidRPr="005B45C1">
        <w:rPr>
          <w:rFonts w:ascii="Times New Roman" w:hAnsi="Times New Roman" w:cs="Times New Roman"/>
          <w:sz w:val="20"/>
          <w:szCs w:val="20"/>
        </w:rPr>
        <w:t xml:space="preserve">Affirmatively Furthering Fair Housing, 85 Fed. Reg. 2,041 (Jan. 14, 2020). </w:t>
      </w:r>
    </w:p>
  </w:footnote>
  <w:footnote w:id="2">
    <w:p w14:paraId="53B3806A" w14:textId="1B942E8B" w:rsidR="008A3BFF" w:rsidRPr="005B45C1" w:rsidRDefault="008A3BFF">
      <w:pPr>
        <w:pStyle w:val="FootnoteText"/>
        <w:rPr>
          <w:rFonts w:ascii="Times New Roman" w:hAnsi="Times New Roman" w:cs="Times New Roman"/>
        </w:rPr>
      </w:pPr>
      <w:r w:rsidRPr="005B45C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B45C1">
        <w:rPr>
          <w:rFonts w:ascii="Times New Roman" w:hAnsi="Times New Roman" w:cs="Times New Roman"/>
          <w:sz w:val="20"/>
          <w:szCs w:val="20"/>
        </w:rPr>
        <w:t xml:space="preserve"> 42 U.S.C. </w:t>
      </w:r>
      <w:r w:rsidR="00893F28" w:rsidRPr="005B45C1">
        <w:rPr>
          <w:rFonts w:ascii="Times New Roman" w:hAnsi="Times New Roman" w:cs="Times New Roman"/>
          <w:sz w:val="20"/>
          <w:szCs w:val="20"/>
        </w:rPr>
        <w:t>§ 3608</w:t>
      </w:r>
      <w:r w:rsidR="00071362" w:rsidRPr="005B45C1"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14:paraId="4EB14B89" w14:textId="2438C1D9" w:rsidR="005B45C1" w:rsidRPr="0070618D" w:rsidRDefault="005B45C1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70618D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0618D">
        <w:rPr>
          <w:rFonts w:ascii="Times New Roman" w:hAnsi="Times New Roman" w:cs="Times New Roman"/>
          <w:sz w:val="20"/>
          <w:szCs w:val="20"/>
        </w:rPr>
        <w:t xml:space="preserve"> </w:t>
      </w:r>
      <w:r w:rsidR="00DA247D" w:rsidRPr="0070618D">
        <w:rPr>
          <w:rFonts w:ascii="Times New Roman" w:hAnsi="Times New Roman" w:cs="Times New Roman"/>
          <w:sz w:val="20"/>
          <w:szCs w:val="20"/>
        </w:rPr>
        <w:t>817 F.2d 149</w:t>
      </w:r>
      <w:r w:rsidR="001860E1" w:rsidRPr="0070618D">
        <w:rPr>
          <w:rFonts w:ascii="Times New Roman" w:hAnsi="Times New Roman" w:cs="Times New Roman"/>
          <w:sz w:val="20"/>
          <w:szCs w:val="20"/>
        </w:rPr>
        <w:t>, 155</w:t>
      </w:r>
      <w:r w:rsidR="00DA247D" w:rsidRPr="0070618D">
        <w:rPr>
          <w:rFonts w:ascii="Times New Roman" w:hAnsi="Times New Roman" w:cs="Times New Roman"/>
          <w:sz w:val="20"/>
          <w:szCs w:val="20"/>
        </w:rPr>
        <w:t xml:space="preserve"> (1st Cir. 1987)</w:t>
      </w:r>
      <w:r w:rsidR="00A54C4E" w:rsidRPr="0070618D">
        <w:rPr>
          <w:rFonts w:ascii="Times New Roman" w:hAnsi="Times New Roman" w:cs="Times New Roman"/>
          <w:sz w:val="20"/>
          <w:szCs w:val="20"/>
        </w:rPr>
        <w:t xml:space="preserve"> (emphasis added). </w:t>
      </w:r>
    </w:p>
  </w:footnote>
  <w:footnote w:id="4">
    <w:p w14:paraId="460429FA" w14:textId="0C98DE3B" w:rsidR="008E6FCC" w:rsidRPr="008E6FCC" w:rsidRDefault="008E6FCC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8E6FC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0D4D4D">
        <w:rPr>
          <w:rFonts w:ascii="Times New Roman" w:hAnsi="Times New Roman" w:cs="Times New Roman"/>
          <w:sz w:val="20"/>
          <w:szCs w:val="20"/>
        </w:rPr>
        <w:t xml:space="preserve"> </w:t>
      </w:r>
      <w:r w:rsidR="000D4D4D" w:rsidRPr="000D4D4D">
        <w:rPr>
          <w:rFonts w:ascii="Times New Roman" w:hAnsi="Times New Roman" w:cs="Times New Roman"/>
          <w:i/>
          <w:sz w:val="20"/>
          <w:szCs w:val="20"/>
        </w:rPr>
        <w:t>See e.g.,</w:t>
      </w:r>
      <w:r w:rsidRPr="008E6FCC">
        <w:rPr>
          <w:rFonts w:ascii="Times New Roman" w:hAnsi="Times New Roman" w:cs="Times New Roman"/>
          <w:sz w:val="20"/>
          <w:szCs w:val="20"/>
        </w:rPr>
        <w:t xml:space="preserve"> </w:t>
      </w:r>
      <w:r w:rsidR="000D4D4D" w:rsidRPr="000D4D4D">
        <w:rPr>
          <w:rFonts w:ascii="Times New Roman" w:hAnsi="Times New Roman" w:cs="Times New Roman"/>
          <w:sz w:val="20"/>
          <w:szCs w:val="20"/>
        </w:rPr>
        <w:t>Propo</w:t>
      </w:r>
      <w:r w:rsidR="000D4D4D">
        <w:rPr>
          <w:rFonts w:ascii="Times New Roman" w:hAnsi="Times New Roman" w:cs="Times New Roman"/>
          <w:sz w:val="20"/>
          <w:szCs w:val="20"/>
        </w:rPr>
        <w:t xml:space="preserve">sed 24 C.F.R. § 91.225(a)(1)(i)(B) (local jurisdiction certification). </w:t>
      </w:r>
    </w:p>
  </w:footnote>
  <w:footnote w:id="5">
    <w:p w14:paraId="578E488D" w14:textId="31B1139C" w:rsidR="00753A5E" w:rsidRPr="008E6FCC" w:rsidRDefault="00753A5E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8E6FC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E6FCC">
        <w:rPr>
          <w:rFonts w:ascii="Times New Roman" w:hAnsi="Times New Roman" w:cs="Times New Roman"/>
          <w:sz w:val="20"/>
          <w:szCs w:val="20"/>
        </w:rPr>
        <w:t xml:space="preserve"> </w:t>
      </w:r>
      <w:r w:rsidR="00CC056F" w:rsidRPr="008E6FCC">
        <w:rPr>
          <w:rFonts w:ascii="Times New Roman" w:hAnsi="Times New Roman" w:cs="Times New Roman"/>
          <w:sz w:val="20"/>
          <w:szCs w:val="20"/>
        </w:rPr>
        <w:t xml:space="preserve">HUD, </w:t>
      </w:r>
      <w:r w:rsidRPr="008E6FCC">
        <w:rPr>
          <w:rFonts w:ascii="Times New Roman" w:hAnsi="Times New Roman" w:cs="Times New Roman"/>
          <w:i/>
          <w:iCs/>
          <w:sz w:val="20"/>
          <w:szCs w:val="20"/>
        </w:rPr>
        <w:t>AFFH Rule Guidebook</w:t>
      </w:r>
      <w:r w:rsidR="00CC056F" w:rsidRPr="008E6FCC">
        <w:rPr>
          <w:rFonts w:ascii="Times New Roman" w:hAnsi="Times New Roman" w:cs="Times New Roman"/>
          <w:sz w:val="20"/>
          <w:szCs w:val="20"/>
        </w:rPr>
        <w:t>, V</w:t>
      </w:r>
      <w:r w:rsidR="00F14923" w:rsidRPr="008E6FCC">
        <w:rPr>
          <w:rFonts w:ascii="Times New Roman" w:hAnsi="Times New Roman" w:cs="Times New Roman"/>
          <w:sz w:val="20"/>
          <w:szCs w:val="20"/>
        </w:rPr>
        <w:t xml:space="preserve">ersion </w:t>
      </w:r>
      <w:r w:rsidR="00CC056F" w:rsidRPr="008E6FCC">
        <w:rPr>
          <w:rFonts w:ascii="Times New Roman" w:hAnsi="Times New Roman" w:cs="Times New Roman"/>
          <w:sz w:val="20"/>
          <w:szCs w:val="20"/>
        </w:rPr>
        <w:t>1</w:t>
      </w:r>
      <w:r w:rsidR="00C41075">
        <w:rPr>
          <w:rFonts w:ascii="Times New Roman" w:hAnsi="Times New Roman" w:cs="Times New Roman"/>
          <w:sz w:val="20"/>
          <w:szCs w:val="20"/>
        </w:rPr>
        <w:t>, at § 3.4</w:t>
      </w:r>
      <w:r w:rsidR="00CC056F" w:rsidRPr="008E6FCC">
        <w:rPr>
          <w:rFonts w:ascii="Times New Roman" w:hAnsi="Times New Roman" w:cs="Times New Roman"/>
          <w:sz w:val="20"/>
          <w:szCs w:val="20"/>
        </w:rPr>
        <w:t xml:space="preserve"> (Dec.</w:t>
      </w:r>
      <w:r w:rsidR="00F14923" w:rsidRPr="008E6FCC">
        <w:rPr>
          <w:rFonts w:ascii="Times New Roman" w:hAnsi="Times New Roman" w:cs="Times New Roman"/>
          <w:sz w:val="20"/>
          <w:szCs w:val="20"/>
        </w:rPr>
        <w:t xml:space="preserve"> 31, 2015). </w:t>
      </w:r>
    </w:p>
  </w:footnote>
  <w:footnote w:id="6">
    <w:p w14:paraId="25C2593A" w14:textId="2EFB2F4F" w:rsidR="003E7657" w:rsidRPr="003B76F2" w:rsidRDefault="003E7657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8E6FC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E6FCC">
        <w:rPr>
          <w:rFonts w:ascii="Times New Roman" w:hAnsi="Times New Roman" w:cs="Times New Roman"/>
          <w:sz w:val="20"/>
          <w:szCs w:val="20"/>
        </w:rPr>
        <w:t xml:space="preserve"> </w:t>
      </w:r>
      <w:r w:rsidR="000D19E2" w:rsidRPr="000D19E2">
        <w:rPr>
          <w:rFonts w:ascii="Times New Roman" w:hAnsi="Times New Roman" w:cs="Times New Roman"/>
          <w:i/>
          <w:sz w:val="20"/>
          <w:szCs w:val="20"/>
        </w:rPr>
        <w:t>See e.g.,</w:t>
      </w:r>
      <w:r w:rsidR="000D19E2">
        <w:rPr>
          <w:rFonts w:ascii="Times New Roman" w:hAnsi="Times New Roman" w:cs="Times New Roman"/>
          <w:sz w:val="20"/>
          <w:szCs w:val="20"/>
        </w:rPr>
        <w:t xml:space="preserve"> </w:t>
      </w:r>
      <w:r w:rsidR="00037697" w:rsidRPr="008E6FCC">
        <w:rPr>
          <w:rFonts w:ascii="Times New Roman" w:hAnsi="Times New Roman" w:cs="Times New Roman"/>
          <w:sz w:val="20"/>
          <w:szCs w:val="20"/>
        </w:rPr>
        <w:t>Proposed 24 C.F.R. §</w:t>
      </w:r>
      <w:r w:rsidR="00D83ADE" w:rsidRPr="008E6FCC">
        <w:rPr>
          <w:rFonts w:ascii="Times New Roman" w:hAnsi="Times New Roman" w:cs="Times New Roman"/>
          <w:sz w:val="20"/>
          <w:szCs w:val="20"/>
        </w:rPr>
        <w:t xml:space="preserve"> 91.225</w:t>
      </w:r>
      <w:r w:rsidR="00D20A26" w:rsidRPr="008E6FCC">
        <w:rPr>
          <w:rFonts w:ascii="Times New Roman" w:hAnsi="Times New Roman" w:cs="Times New Roman"/>
          <w:sz w:val="20"/>
          <w:szCs w:val="20"/>
        </w:rPr>
        <w:t>(a)(1)(i)</w:t>
      </w:r>
      <w:r w:rsidR="000D19E2">
        <w:rPr>
          <w:rFonts w:ascii="Times New Roman" w:hAnsi="Times New Roman" w:cs="Times New Roman"/>
          <w:sz w:val="20"/>
          <w:szCs w:val="20"/>
        </w:rPr>
        <w:t xml:space="preserve"> (local jurisdictions)</w:t>
      </w:r>
      <w:r w:rsidR="00D20A26" w:rsidRPr="008E6FCC">
        <w:rPr>
          <w:rFonts w:ascii="Times New Roman" w:hAnsi="Times New Roman" w:cs="Times New Roman"/>
          <w:sz w:val="20"/>
          <w:szCs w:val="20"/>
        </w:rPr>
        <w:t>.</w:t>
      </w:r>
    </w:p>
  </w:footnote>
  <w:footnote w:id="7">
    <w:p w14:paraId="6915A524" w14:textId="77777777" w:rsidR="007C4E3E" w:rsidRPr="003B76F2" w:rsidRDefault="007C4E3E" w:rsidP="007C4E3E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3B76F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B76F2">
        <w:rPr>
          <w:rFonts w:ascii="Times New Roman" w:hAnsi="Times New Roman" w:cs="Times New Roman"/>
          <w:sz w:val="20"/>
          <w:szCs w:val="20"/>
        </w:rPr>
        <w:t xml:space="preserve"> Propo</w:t>
      </w:r>
      <w:r>
        <w:rPr>
          <w:rFonts w:ascii="Times New Roman" w:hAnsi="Times New Roman" w:cs="Times New Roman"/>
          <w:sz w:val="20"/>
          <w:szCs w:val="20"/>
        </w:rPr>
        <w:t xml:space="preserve">sed 24 C.F.R. § 91.225(a)(1)(i) </w:t>
      </w:r>
      <w:r w:rsidRPr="00396BD6">
        <w:rPr>
          <w:rFonts w:ascii="Times New Roman" w:hAnsi="Times New Roman" w:cs="Times New Roman"/>
          <w:sz w:val="20"/>
          <w:szCs w:val="20"/>
        </w:rPr>
        <w:t>(local jurisdictions).</w:t>
      </w:r>
      <w:r>
        <w:rPr>
          <w:rFonts w:ascii="Times New Roman" w:hAnsi="Times New Roman" w:cs="Times New Roman"/>
          <w:sz w:val="20"/>
          <w:szCs w:val="20"/>
        </w:rPr>
        <w:t xml:space="preserve"> Regulations for states and consortia use the language “rent controls.” </w:t>
      </w:r>
      <w:r w:rsidRPr="007B0DED">
        <w:rPr>
          <w:rFonts w:ascii="Times New Roman" w:hAnsi="Times New Roman" w:cs="Times New Roman"/>
          <w:sz w:val="20"/>
          <w:szCs w:val="20"/>
        </w:rPr>
        <w:t>Proposed 24 C.F.R. § 91.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7B0DED">
        <w:rPr>
          <w:rFonts w:ascii="Times New Roman" w:hAnsi="Times New Roman" w:cs="Times New Roman"/>
          <w:sz w:val="20"/>
          <w:szCs w:val="20"/>
        </w:rPr>
        <w:t>25(a)(1)(i)</w:t>
      </w:r>
      <w:r>
        <w:rPr>
          <w:rFonts w:ascii="Times New Roman" w:hAnsi="Times New Roman" w:cs="Times New Roman"/>
          <w:sz w:val="20"/>
          <w:szCs w:val="20"/>
        </w:rPr>
        <w:t xml:space="preserve">(I) (states); </w:t>
      </w:r>
      <w:r w:rsidRPr="007B0DED">
        <w:rPr>
          <w:rFonts w:ascii="Times New Roman" w:hAnsi="Times New Roman" w:cs="Times New Roman"/>
          <w:sz w:val="20"/>
          <w:szCs w:val="20"/>
        </w:rPr>
        <w:t>Proposed 24 C.F.R. § 91.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7B0DED">
        <w:rPr>
          <w:rFonts w:ascii="Times New Roman" w:hAnsi="Times New Roman" w:cs="Times New Roman"/>
          <w:sz w:val="20"/>
          <w:szCs w:val="20"/>
        </w:rPr>
        <w:t>25(a)(1)(i)</w:t>
      </w:r>
      <w:r>
        <w:rPr>
          <w:rFonts w:ascii="Times New Roman" w:hAnsi="Times New Roman" w:cs="Times New Roman"/>
          <w:sz w:val="20"/>
          <w:szCs w:val="20"/>
        </w:rPr>
        <w:t>(A)(9) (consortia).</w:t>
      </w:r>
    </w:p>
  </w:footnote>
  <w:footnote w:id="8">
    <w:p w14:paraId="7775AC83" w14:textId="4D21077A" w:rsidR="003B72E1" w:rsidRDefault="003B72E1">
      <w:pPr>
        <w:pStyle w:val="FootnoteText"/>
      </w:pPr>
      <w:r w:rsidRPr="003B76F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396BD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96BD6" w:rsidRPr="000D19E2">
        <w:rPr>
          <w:rFonts w:ascii="Times New Roman" w:hAnsi="Times New Roman" w:cs="Times New Roman"/>
          <w:i/>
          <w:sz w:val="20"/>
          <w:szCs w:val="20"/>
        </w:rPr>
        <w:t>See e.g.</w:t>
      </w:r>
      <w:r w:rsidRPr="003B76F2">
        <w:rPr>
          <w:rFonts w:ascii="Times New Roman" w:hAnsi="Times New Roman" w:cs="Times New Roman"/>
          <w:sz w:val="20"/>
          <w:szCs w:val="20"/>
        </w:rPr>
        <w:t xml:space="preserve"> </w:t>
      </w:r>
      <w:r w:rsidR="00EB2066" w:rsidRPr="003B76F2">
        <w:rPr>
          <w:rFonts w:ascii="Times New Roman" w:hAnsi="Times New Roman" w:cs="Times New Roman"/>
          <w:sz w:val="20"/>
          <w:szCs w:val="20"/>
        </w:rPr>
        <w:t xml:space="preserve">Proposed 24 </w:t>
      </w:r>
      <w:r w:rsidR="00396BD6">
        <w:rPr>
          <w:rFonts w:ascii="Times New Roman" w:hAnsi="Times New Roman" w:cs="Times New Roman"/>
          <w:sz w:val="20"/>
          <w:szCs w:val="20"/>
        </w:rPr>
        <w:t xml:space="preserve">C.F.R. § 91.225(a)(1)(i) </w:t>
      </w:r>
      <w:r w:rsidR="00396BD6" w:rsidRPr="00396BD6">
        <w:rPr>
          <w:rFonts w:ascii="Times New Roman" w:hAnsi="Times New Roman" w:cs="Times New Roman"/>
          <w:sz w:val="20"/>
          <w:szCs w:val="20"/>
        </w:rPr>
        <w:t>(local jurisdictions).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ABE46" w14:textId="77777777" w:rsidR="00EC7426" w:rsidRDefault="00EC74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59176" w14:textId="77777777" w:rsidR="00EC7426" w:rsidRDefault="00EC74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1910D" w14:textId="77777777" w:rsidR="00EC7426" w:rsidRDefault="00EC74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6598"/>
    <w:multiLevelType w:val="hybridMultilevel"/>
    <w:tmpl w:val="B3EC13EC"/>
    <w:lvl w:ilvl="0" w:tplc="ED4056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32AD3"/>
    <w:multiLevelType w:val="hybridMultilevel"/>
    <w:tmpl w:val="84F8C72E"/>
    <w:lvl w:ilvl="0" w:tplc="F0D6F1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A1636"/>
    <w:multiLevelType w:val="hybridMultilevel"/>
    <w:tmpl w:val="0E926BBA"/>
    <w:lvl w:ilvl="0" w:tplc="A9A6C9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A1F60"/>
    <w:multiLevelType w:val="hybridMultilevel"/>
    <w:tmpl w:val="F3C6A47C"/>
    <w:lvl w:ilvl="0" w:tplc="8A0C73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7A"/>
    <w:rsid w:val="00020457"/>
    <w:rsid w:val="00023E08"/>
    <w:rsid w:val="00025391"/>
    <w:rsid w:val="00033463"/>
    <w:rsid w:val="00037697"/>
    <w:rsid w:val="00056349"/>
    <w:rsid w:val="0005652D"/>
    <w:rsid w:val="00063FE4"/>
    <w:rsid w:val="00071362"/>
    <w:rsid w:val="00072B00"/>
    <w:rsid w:val="0008209E"/>
    <w:rsid w:val="00082392"/>
    <w:rsid w:val="00085C00"/>
    <w:rsid w:val="000870BC"/>
    <w:rsid w:val="00092DDD"/>
    <w:rsid w:val="00094109"/>
    <w:rsid w:val="000B7866"/>
    <w:rsid w:val="000C378E"/>
    <w:rsid w:val="000D19E2"/>
    <w:rsid w:val="000D4D4D"/>
    <w:rsid w:val="000D7D99"/>
    <w:rsid w:val="000F29A8"/>
    <w:rsid w:val="000F593A"/>
    <w:rsid w:val="000F7DD2"/>
    <w:rsid w:val="00103638"/>
    <w:rsid w:val="00117915"/>
    <w:rsid w:val="00126FB9"/>
    <w:rsid w:val="00136F19"/>
    <w:rsid w:val="0014030A"/>
    <w:rsid w:val="001414C6"/>
    <w:rsid w:val="00143A48"/>
    <w:rsid w:val="0014593D"/>
    <w:rsid w:val="00157EE4"/>
    <w:rsid w:val="00161971"/>
    <w:rsid w:val="00164CC1"/>
    <w:rsid w:val="0016673E"/>
    <w:rsid w:val="00184066"/>
    <w:rsid w:val="001860E1"/>
    <w:rsid w:val="00190CD6"/>
    <w:rsid w:val="0019614D"/>
    <w:rsid w:val="001A084F"/>
    <w:rsid w:val="001B5EE0"/>
    <w:rsid w:val="001C3D81"/>
    <w:rsid w:val="001C5BAA"/>
    <w:rsid w:val="001F2B2F"/>
    <w:rsid w:val="002026BA"/>
    <w:rsid w:val="00207858"/>
    <w:rsid w:val="00224A86"/>
    <w:rsid w:val="002307F0"/>
    <w:rsid w:val="00241F61"/>
    <w:rsid w:val="0024795C"/>
    <w:rsid w:val="002573AC"/>
    <w:rsid w:val="00261487"/>
    <w:rsid w:val="002677BB"/>
    <w:rsid w:val="002718A7"/>
    <w:rsid w:val="00276FF4"/>
    <w:rsid w:val="00283F29"/>
    <w:rsid w:val="00294F0E"/>
    <w:rsid w:val="002962BE"/>
    <w:rsid w:val="002A0078"/>
    <w:rsid w:val="002A5A3F"/>
    <w:rsid w:val="002A6C9B"/>
    <w:rsid w:val="002B1A99"/>
    <w:rsid w:val="002B4DFB"/>
    <w:rsid w:val="002B674F"/>
    <w:rsid w:val="002B7335"/>
    <w:rsid w:val="002C3B4D"/>
    <w:rsid w:val="002D2738"/>
    <w:rsid w:val="002D3C67"/>
    <w:rsid w:val="002E6B9D"/>
    <w:rsid w:val="002F13B2"/>
    <w:rsid w:val="00303C23"/>
    <w:rsid w:val="00304703"/>
    <w:rsid w:val="0031599D"/>
    <w:rsid w:val="0031702C"/>
    <w:rsid w:val="00333A52"/>
    <w:rsid w:val="00343BD4"/>
    <w:rsid w:val="00345174"/>
    <w:rsid w:val="003477ED"/>
    <w:rsid w:val="0035135E"/>
    <w:rsid w:val="003528F9"/>
    <w:rsid w:val="00356781"/>
    <w:rsid w:val="003606B2"/>
    <w:rsid w:val="00374723"/>
    <w:rsid w:val="0038528A"/>
    <w:rsid w:val="00396BD6"/>
    <w:rsid w:val="0039727F"/>
    <w:rsid w:val="003A36DE"/>
    <w:rsid w:val="003B14CD"/>
    <w:rsid w:val="003B3BDE"/>
    <w:rsid w:val="003B57AA"/>
    <w:rsid w:val="003B72E1"/>
    <w:rsid w:val="003B76F2"/>
    <w:rsid w:val="003C449A"/>
    <w:rsid w:val="003C4927"/>
    <w:rsid w:val="003C7ACC"/>
    <w:rsid w:val="003D25A9"/>
    <w:rsid w:val="003E1195"/>
    <w:rsid w:val="003E547A"/>
    <w:rsid w:val="003E633F"/>
    <w:rsid w:val="003E7657"/>
    <w:rsid w:val="003E7EAD"/>
    <w:rsid w:val="003F03FE"/>
    <w:rsid w:val="00402BDB"/>
    <w:rsid w:val="004041EE"/>
    <w:rsid w:val="0041320F"/>
    <w:rsid w:val="0042085C"/>
    <w:rsid w:val="00424236"/>
    <w:rsid w:val="004319C7"/>
    <w:rsid w:val="004329A6"/>
    <w:rsid w:val="004347BA"/>
    <w:rsid w:val="00440860"/>
    <w:rsid w:val="004418C1"/>
    <w:rsid w:val="0044413C"/>
    <w:rsid w:val="00444421"/>
    <w:rsid w:val="004528EB"/>
    <w:rsid w:val="004630BA"/>
    <w:rsid w:val="00467E8A"/>
    <w:rsid w:val="00475403"/>
    <w:rsid w:val="004851AA"/>
    <w:rsid w:val="00486E37"/>
    <w:rsid w:val="00495E14"/>
    <w:rsid w:val="004A01B0"/>
    <w:rsid w:val="004B2CB9"/>
    <w:rsid w:val="004B3A24"/>
    <w:rsid w:val="004C51D7"/>
    <w:rsid w:val="004C6EBD"/>
    <w:rsid w:val="004C6FE9"/>
    <w:rsid w:val="004E2F42"/>
    <w:rsid w:val="004E38BC"/>
    <w:rsid w:val="005036E5"/>
    <w:rsid w:val="0050475A"/>
    <w:rsid w:val="00511801"/>
    <w:rsid w:val="0052635B"/>
    <w:rsid w:val="005338B5"/>
    <w:rsid w:val="00542F1F"/>
    <w:rsid w:val="00547166"/>
    <w:rsid w:val="005536BB"/>
    <w:rsid w:val="00554498"/>
    <w:rsid w:val="00557BFE"/>
    <w:rsid w:val="005757F0"/>
    <w:rsid w:val="00577C7D"/>
    <w:rsid w:val="00577F11"/>
    <w:rsid w:val="0059785D"/>
    <w:rsid w:val="005A0788"/>
    <w:rsid w:val="005A1525"/>
    <w:rsid w:val="005A766D"/>
    <w:rsid w:val="005B20B9"/>
    <w:rsid w:val="005B45C1"/>
    <w:rsid w:val="005D50DA"/>
    <w:rsid w:val="005E3F12"/>
    <w:rsid w:val="005F2834"/>
    <w:rsid w:val="005F3172"/>
    <w:rsid w:val="00600C65"/>
    <w:rsid w:val="006054E7"/>
    <w:rsid w:val="0061568F"/>
    <w:rsid w:val="00620BFE"/>
    <w:rsid w:val="00630145"/>
    <w:rsid w:val="00636DA1"/>
    <w:rsid w:val="00637307"/>
    <w:rsid w:val="00647BCB"/>
    <w:rsid w:val="0065498A"/>
    <w:rsid w:val="006711C8"/>
    <w:rsid w:val="00673EED"/>
    <w:rsid w:val="00682ABC"/>
    <w:rsid w:val="00682C00"/>
    <w:rsid w:val="00682FD5"/>
    <w:rsid w:val="006A2831"/>
    <w:rsid w:val="006A2A47"/>
    <w:rsid w:val="006B3B6C"/>
    <w:rsid w:val="006B545F"/>
    <w:rsid w:val="006C714F"/>
    <w:rsid w:val="006C7915"/>
    <w:rsid w:val="006D0104"/>
    <w:rsid w:val="006F003B"/>
    <w:rsid w:val="006F4DFC"/>
    <w:rsid w:val="007046A5"/>
    <w:rsid w:val="0070618D"/>
    <w:rsid w:val="007062D2"/>
    <w:rsid w:val="00721BCE"/>
    <w:rsid w:val="00723A34"/>
    <w:rsid w:val="007304FC"/>
    <w:rsid w:val="0073057C"/>
    <w:rsid w:val="00735D92"/>
    <w:rsid w:val="0073750D"/>
    <w:rsid w:val="00746615"/>
    <w:rsid w:val="00750C5A"/>
    <w:rsid w:val="00753A5E"/>
    <w:rsid w:val="00762978"/>
    <w:rsid w:val="00771903"/>
    <w:rsid w:val="00772491"/>
    <w:rsid w:val="0078198C"/>
    <w:rsid w:val="00787291"/>
    <w:rsid w:val="007B0DED"/>
    <w:rsid w:val="007B2D8E"/>
    <w:rsid w:val="007B6BD9"/>
    <w:rsid w:val="007C2E64"/>
    <w:rsid w:val="007C4E3E"/>
    <w:rsid w:val="007D5CE0"/>
    <w:rsid w:val="007E26C6"/>
    <w:rsid w:val="007F0DEA"/>
    <w:rsid w:val="007F141E"/>
    <w:rsid w:val="00813621"/>
    <w:rsid w:val="00814320"/>
    <w:rsid w:val="0082065E"/>
    <w:rsid w:val="0082473C"/>
    <w:rsid w:val="00826514"/>
    <w:rsid w:val="00827519"/>
    <w:rsid w:val="00837EB9"/>
    <w:rsid w:val="0085487D"/>
    <w:rsid w:val="00862E8E"/>
    <w:rsid w:val="0086442F"/>
    <w:rsid w:val="00882CB0"/>
    <w:rsid w:val="00886CFB"/>
    <w:rsid w:val="00893F28"/>
    <w:rsid w:val="00897F91"/>
    <w:rsid w:val="008A3BFF"/>
    <w:rsid w:val="008A5559"/>
    <w:rsid w:val="008B58DC"/>
    <w:rsid w:val="008C0792"/>
    <w:rsid w:val="008C0A6F"/>
    <w:rsid w:val="008C167E"/>
    <w:rsid w:val="008C44F9"/>
    <w:rsid w:val="008D1493"/>
    <w:rsid w:val="008E6FCC"/>
    <w:rsid w:val="008F2226"/>
    <w:rsid w:val="008F4C10"/>
    <w:rsid w:val="00915156"/>
    <w:rsid w:val="00920292"/>
    <w:rsid w:val="0092680A"/>
    <w:rsid w:val="009279E2"/>
    <w:rsid w:val="00942F16"/>
    <w:rsid w:val="00946902"/>
    <w:rsid w:val="00955D51"/>
    <w:rsid w:val="00964534"/>
    <w:rsid w:val="00966CA0"/>
    <w:rsid w:val="009675EF"/>
    <w:rsid w:val="00980139"/>
    <w:rsid w:val="009832E8"/>
    <w:rsid w:val="0099095B"/>
    <w:rsid w:val="009A2378"/>
    <w:rsid w:val="009B769A"/>
    <w:rsid w:val="009D17E1"/>
    <w:rsid w:val="009D60E4"/>
    <w:rsid w:val="009E04E8"/>
    <w:rsid w:val="009F4FF2"/>
    <w:rsid w:val="00A00C0B"/>
    <w:rsid w:val="00A00FFC"/>
    <w:rsid w:val="00A11BBC"/>
    <w:rsid w:val="00A134B5"/>
    <w:rsid w:val="00A207C8"/>
    <w:rsid w:val="00A26134"/>
    <w:rsid w:val="00A36AF3"/>
    <w:rsid w:val="00A45116"/>
    <w:rsid w:val="00A52842"/>
    <w:rsid w:val="00A530A2"/>
    <w:rsid w:val="00A54C4E"/>
    <w:rsid w:val="00A54F23"/>
    <w:rsid w:val="00A703D5"/>
    <w:rsid w:val="00A718FE"/>
    <w:rsid w:val="00A75089"/>
    <w:rsid w:val="00A835CB"/>
    <w:rsid w:val="00A86C02"/>
    <w:rsid w:val="00A96507"/>
    <w:rsid w:val="00AB29B5"/>
    <w:rsid w:val="00AD2884"/>
    <w:rsid w:val="00AD4D75"/>
    <w:rsid w:val="00AE117B"/>
    <w:rsid w:val="00AE3161"/>
    <w:rsid w:val="00AF49C1"/>
    <w:rsid w:val="00AF5068"/>
    <w:rsid w:val="00AF7F24"/>
    <w:rsid w:val="00B13787"/>
    <w:rsid w:val="00B1497A"/>
    <w:rsid w:val="00B2270B"/>
    <w:rsid w:val="00B2710C"/>
    <w:rsid w:val="00B2726D"/>
    <w:rsid w:val="00B34A87"/>
    <w:rsid w:val="00B51981"/>
    <w:rsid w:val="00B52690"/>
    <w:rsid w:val="00B62B55"/>
    <w:rsid w:val="00B62F0D"/>
    <w:rsid w:val="00B64A53"/>
    <w:rsid w:val="00B66E8B"/>
    <w:rsid w:val="00B70F63"/>
    <w:rsid w:val="00B71D64"/>
    <w:rsid w:val="00B777F0"/>
    <w:rsid w:val="00B81C8E"/>
    <w:rsid w:val="00B936A6"/>
    <w:rsid w:val="00B94688"/>
    <w:rsid w:val="00B95B09"/>
    <w:rsid w:val="00B97646"/>
    <w:rsid w:val="00BA156E"/>
    <w:rsid w:val="00BA27D8"/>
    <w:rsid w:val="00BB1BE1"/>
    <w:rsid w:val="00BB67A3"/>
    <w:rsid w:val="00BC4F8B"/>
    <w:rsid w:val="00BC57CE"/>
    <w:rsid w:val="00BC7EBB"/>
    <w:rsid w:val="00BD39F2"/>
    <w:rsid w:val="00C02A8F"/>
    <w:rsid w:val="00C218FC"/>
    <w:rsid w:val="00C40835"/>
    <w:rsid w:val="00C41075"/>
    <w:rsid w:val="00C41DCC"/>
    <w:rsid w:val="00C64424"/>
    <w:rsid w:val="00C65CAC"/>
    <w:rsid w:val="00C7724D"/>
    <w:rsid w:val="00CA36DC"/>
    <w:rsid w:val="00CB6A9F"/>
    <w:rsid w:val="00CC056F"/>
    <w:rsid w:val="00CE25E9"/>
    <w:rsid w:val="00CE74F8"/>
    <w:rsid w:val="00CE7ED3"/>
    <w:rsid w:val="00D15BD1"/>
    <w:rsid w:val="00D17CCA"/>
    <w:rsid w:val="00D20A26"/>
    <w:rsid w:val="00D24F17"/>
    <w:rsid w:val="00D33557"/>
    <w:rsid w:val="00D3612B"/>
    <w:rsid w:val="00D43FBC"/>
    <w:rsid w:val="00D459D3"/>
    <w:rsid w:val="00D56916"/>
    <w:rsid w:val="00D600F3"/>
    <w:rsid w:val="00D61296"/>
    <w:rsid w:val="00D737FC"/>
    <w:rsid w:val="00D773A6"/>
    <w:rsid w:val="00D8111C"/>
    <w:rsid w:val="00D81BA8"/>
    <w:rsid w:val="00D83383"/>
    <w:rsid w:val="00D83ADE"/>
    <w:rsid w:val="00D902A8"/>
    <w:rsid w:val="00D91C02"/>
    <w:rsid w:val="00D932DB"/>
    <w:rsid w:val="00D97945"/>
    <w:rsid w:val="00DA247D"/>
    <w:rsid w:val="00DB00A8"/>
    <w:rsid w:val="00DB01B3"/>
    <w:rsid w:val="00DC00D1"/>
    <w:rsid w:val="00DC0ACD"/>
    <w:rsid w:val="00DD5D40"/>
    <w:rsid w:val="00DD78DD"/>
    <w:rsid w:val="00DE1A67"/>
    <w:rsid w:val="00DF2FD5"/>
    <w:rsid w:val="00DF6003"/>
    <w:rsid w:val="00E05697"/>
    <w:rsid w:val="00E1033B"/>
    <w:rsid w:val="00E234C2"/>
    <w:rsid w:val="00E24D50"/>
    <w:rsid w:val="00E64DD6"/>
    <w:rsid w:val="00E851FA"/>
    <w:rsid w:val="00E9403E"/>
    <w:rsid w:val="00E950F9"/>
    <w:rsid w:val="00EA2920"/>
    <w:rsid w:val="00EA64C3"/>
    <w:rsid w:val="00EB2066"/>
    <w:rsid w:val="00EB6CDC"/>
    <w:rsid w:val="00EC073D"/>
    <w:rsid w:val="00EC3392"/>
    <w:rsid w:val="00EC7426"/>
    <w:rsid w:val="00EE4257"/>
    <w:rsid w:val="00EE7E1F"/>
    <w:rsid w:val="00EF47D9"/>
    <w:rsid w:val="00EF68A7"/>
    <w:rsid w:val="00F00EF3"/>
    <w:rsid w:val="00F01A2A"/>
    <w:rsid w:val="00F1465D"/>
    <w:rsid w:val="00F14923"/>
    <w:rsid w:val="00F159BD"/>
    <w:rsid w:val="00F203E8"/>
    <w:rsid w:val="00F21F57"/>
    <w:rsid w:val="00F24AB6"/>
    <w:rsid w:val="00F34EB9"/>
    <w:rsid w:val="00F3506A"/>
    <w:rsid w:val="00F640F0"/>
    <w:rsid w:val="00F72688"/>
    <w:rsid w:val="00F76004"/>
    <w:rsid w:val="00FB2BB4"/>
    <w:rsid w:val="00FB31DB"/>
    <w:rsid w:val="00FB346B"/>
    <w:rsid w:val="00FB52B8"/>
    <w:rsid w:val="00FB6C9E"/>
    <w:rsid w:val="00FB70DA"/>
    <w:rsid w:val="00FC3334"/>
    <w:rsid w:val="00FC469B"/>
    <w:rsid w:val="00FC6458"/>
    <w:rsid w:val="00FC76E1"/>
    <w:rsid w:val="00FD0240"/>
    <w:rsid w:val="00FD3B23"/>
    <w:rsid w:val="00FD60BD"/>
    <w:rsid w:val="00F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2FE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F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C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6C0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414C6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414C6"/>
  </w:style>
  <w:style w:type="character" w:styleId="PageNumber">
    <w:name w:val="page number"/>
    <w:basedOn w:val="DefaultParagraphFont"/>
    <w:uiPriority w:val="99"/>
    <w:semiHidden/>
    <w:unhideWhenUsed/>
    <w:rsid w:val="001414C6"/>
  </w:style>
  <w:style w:type="paragraph" w:styleId="Header">
    <w:name w:val="header"/>
    <w:basedOn w:val="Normal"/>
    <w:link w:val="HeaderChar"/>
    <w:uiPriority w:val="99"/>
    <w:unhideWhenUsed/>
    <w:rsid w:val="001414C6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414C6"/>
  </w:style>
  <w:style w:type="paragraph" w:styleId="FootnoteText">
    <w:name w:val="footnote text"/>
    <w:basedOn w:val="Normal"/>
    <w:link w:val="FootnoteTextChar"/>
    <w:uiPriority w:val="99"/>
    <w:unhideWhenUsed/>
    <w:rsid w:val="00CE7ED3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7ED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E7ED3"/>
    <w:rPr>
      <w:vertAlign w:val="superscript"/>
    </w:rPr>
  </w:style>
  <w:style w:type="paragraph" w:styleId="ListParagraph">
    <w:name w:val="List Paragraph"/>
    <w:basedOn w:val="Normal"/>
    <w:uiPriority w:val="34"/>
    <w:qFormat/>
    <w:rsid w:val="00D811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6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E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E3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E37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6E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E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8FB1A8-E3A0-4195-B406-12C1E5D5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2020-02-25T01:08:00Z</dcterms:created>
  <dcterms:modified xsi:type="dcterms:W3CDTF">2020-02-25T01:08:00Z</dcterms:modified>
</cp:coreProperties>
</file>